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A9C" w14:textId="02B21CE5" w:rsidR="00486FBB" w:rsidRPr="003B407E" w:rsidRDefault="00264ED7" w:rsidP="0025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  <w:r w:rsidRPr="003B407E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FORMULÁŘ </w:t>
      </w:r>
      <w:proofErr w:type="gramStart"/>
      <w:r w:rsidRPr="003B407E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NABÍDKY - PROHLÁŠENÍ</w:t>
      </w:r>
      <w:proofErr w:type="gramEnd"/>
      <w:r w:rsidRPr="003B407E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 DODAVATELE </w:t>
      </w:r>
    </w:p>
    <w:p w14:paraId="060B3491" w14:textId="0840CF0F" w:rsidR="00FF7BAE" w:rsidRPr="003B407E" w:rsidRDefault="00FF7BAE" w:rsidP="0025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="Calibri Light" w:hAnsi="Calibri Light" w:cs="Calibri Light"/>
          <w:b/>
          <w:bCs/>
          <w:color w:val="FFFFFF" w:themeColor="background1"/>
          <w:sz w:val="22"/>
          <w:szCs w:val="22"/>
        </w:rPr>
      </w:pPr>
      <w:r w:rsidRPr="003B407E">
        <w:rPr>
          <w:rFonts w:ascii="Calibri Light" w:hAnsi="Calibri Light" w:cs="Calibri Light"/>
          <w:b/>
          <w:bCs/>
          <w:color w:val="FFFFFF" w:themeColor="background1"/>
          <w:sz w:val="22"/>
          <w:szCs w:val="22"/>
        </w:rPr>
        <w:t xml:space="preserve">Příloha č. 1 </w:t>
      </w:r>
      <w:r w:rsidR="005464B7">
        <w:rPr>
          <w:rFonts w:ascii="Calibri Light" w:hAnsi="Calibri Light" w:cs="Calibri Light"/>
          <w:b/>
          <w:bCs/>
          <w:color w:val="FFFFFF" w:themeColor="background1"/>
          <w:sz w:val="22"/>
          <w:szCs w:val="22"/>
        </w:rPr>
        <w:t>Zadávací dokumentace</w:t>
      </w:r>
    </w:p>
    <w:p w14:paraId="646B5847" w14:textId="0083B81B" w:rsidR="00A81409" w:rsidRPr="005464B7" w:rsidRDefault="002A374A" w:rsidP="00DF0884">
      <w:pPr>
        <w:spacing w:before="120" w:after="360"/>
        <w:jc w:val="both"/>
        <w:rPr>
          <w:rFonts w:ascii="Calibri Light" w:hAnsi="Calibri Light" w:cs="Calibri Light"/>
          <w:sz w:val="18"/>
          <w:szCs w:val="18"/>
        </w:rPr>
      </w:pPr>
      <w:r w:rsidRPr="005464B7">
        <w:rPr>
          <w:rFonts w:ascii="Calibri Light" w:hAnsi="Calibri Light" w:cs="Calibri Light"/>
          <w:sz w:val="18"/>
          <w:szCs w:val="18"/>
        </w:rPr>
        <w:t>Prohlášení</w:t>
      </w:r>
      <w:r w:rsidR="00C762D3" w:rsidRPr="005464B7">
        <w:rPr>
          <w:rFonts w:ascii="Calibri Light" w:hAnsi="Calibri Light" w:cs="Calibri Light"/>
          <w:sz w:val="18"/>
          <w:szCs w:val="18"/>
        </w:rPr>
        <w:t xml:space="preserve"> účastníka </w:t>
      </w:r>
      <w:r w:rsidR="00465DC4">
        <w:rPr>
          <w:rFonts w:ascii="Calibri Light" w:hAnsi="Calibri Light" w:cs="Calibri Light"/>
          <w:sz w:val="18"/>
          <w:szCs w:val="18"/>
        </w:rPr>
        <w:t>výběrového</w:t>
      </w:r>
      <w:r w:rsidRPr="005464B7">
        <w:rPr>
          <w:rFonts w:ascii="Calibri Light" w:hAnsi="Calibri Light" w:cs="Calibri Light"/>
          <w:sz w:val="18"/>
          <w:szCs w:val="18"/>
        </w:rPr>
        <w:t xml:space="preserve"> </w:t>
      </w:r>
      <w:r w:rsidR="00C762D3" w:rsidRPr="005464B7">
        <w:rPr>
          <w:rFonts w:ascii="Calibri Light" w:hAnsi="Calibri Light" w:cs="Calibri Light"/>
          <w:sz w:val="18"/>
          <w:szCs w:val="18"/>
        </w:rPr>
        <w:t xml:space="preserve">řízení </w:t>
      </w:r>
      <w:r w:rsidR="00465DC4">
        <w:rPr>
          <w:rFonts w:ascii="Calibri Light" w:hAnsi="Calibri Light" w:cs="Calibri Light"/>
          <w:sz w:val="18"/>
          <w:szCs w:val="18"/>
        </w:rPr>
        <w:t>mimo režim</w:t>
      </w:r>
      <w:r w:rsidR="00486FBB" w:rsidRPr="005464B7">
        <w:rPr>
          <w:rFonts w:ascii="Calibri Light" w:hAnsi="Calibri Light" w:cs="Calibri Light"/>
          <w:sz w:val="18"/>
          <w:szCs w:val="18"/>
        </w:rPr>
        <w:t xml:space="preserve"> zákona č 134/2016 Sb., o zadávání veřejných zakázek, v platném </w:t>
      </w:r>
      <w:r w:rsidR="00FC0288" w:rsidRPr="005464B7">
        <w:rPr>
          <w:rFonts w:ascii="Calibri Light" w:hAnsi="Calibri Light" w:cs="Calibri Light"/>
          <w:sz w:val="18"/>
          <w:szCs w:val="18"/>
        </w:rPr>
        <w:t>a</w:t>
      </w:r>
      <w:r w:rsidR="00DF0884" w:rsidRPr="005464B7">
        <w:rPr>
          <w:rFonts w:ascii="Calibri Light" w:hAnsi="Calibri Light" w:cs="Calibri Light"/>
          <w:sz w:val="18"/>
          <w:szCs w:val="18"/>
        </w:rPr>
        <w:t> </w:t>
      </w:r>
      <w:r w:rsidR="00FC0288" w:rsidRPr="005464B7">
        <w:rPr>
          <w:rFonts w:ascii="Calibri Light" w:hAnsi="Calibri Light" w:cs="Calibri Light"/>
          <w:sz w:val="18"/>
          <w:szCs w:val="18"/>
        </w:rPr>
        <w:t xml:space="preserve">účinném </w:t>
      </w:r>
      <w:r w:rsidR="00486FBB" w:rsidRPr="005464B7">
        <w:rPr>
          <w:rFonts w:ascii="Calibri Light" w:hAnsi="Calibri Light" w:cs="Calibri Light"/>
          <w:sz w:val="18"/>
          <w:szCs w:val="18"/>
        </w:rPr>
        <w:t>znění (dále jen „ZZVZ“ nebo „zákon“)</w:t>
      </w:r>
      <w:r w:rsidR="003B387C" w:rsidRPr="005464B7">
        <w:rPr>
          <w:rFonts w:ascii="Calibri Light" w:hAnsi="Calibri Light" w:cs="Calibri Light"/>
          <w:sz w:val="18"/>
          <w:szCs w:val="18"/>
        </w:rPr>
        <w:t>.</w:t>
      </w:r>
    </w:p>
    <w:p w14:paraId="33C2C840" w14:textId="1493C909" w:rsidR="00486FBB" w:rsidRPr="003B407E" w:rsidRDefault="00486FBB" w:rsidP="00251D18">
      <w:pPr>
        <w:rPr>
          <w:rFonts w:ascii="Calibri Light" w:hAnsi="Calibri Light" w:cs="Calibri Light"/>
        </w:rPr>
      </w:pPr>
      <w:r w:rsidRPr="003B407E">
        <w:rPr>
          <w:rFonts w:ascii="Calibri Light" w:hAnsi="Calibri Light" w:cs="Calibri Light"/>
        </w:rPr>
        <w:t>název veřejné zakázky:</w:t>
      </w:r>
    </w:p>
    <w:p w14:paraId="69EE19DA" w14:textId="2385F7A8" w:rsidR="00466F64" w:rsidRPr="00465DC4" w:rsidRDefault="00465DC4" w:rsidP="00465DC4">
      <w:pPr>
        <w:spacing w:before="240" w:after="240"/>
        <w:rPr>
          <w:rFonts w:ascii="Calibri Light" w:hAnsi="Calibri Light" w:cs="Calibri Light"/>
          <w:b/>
          <w:bCs/>
          <w:color w:val="595959" w:themeColor="text1" w:themeTint="A6"/>
          <w:sz w:val="32"/>
          <w:szCs w:val="32"/>
        </w:rPr>
      </w:pPr>
      <w:r>
        <w:rPr>
          <w:rFonts w:ascii="Calibri Light" w:hAnsi="Calibri Light" w:cs="Calibri Light"/>
          <w:b/>
          <w:bCs/>
          <w:color w:val="595959" w:themeColor="text1" w:themeTint="A6"/>
          <w:sz w:val="32"/>
          <w:szCs w:val="32"/>
        </w:rPr>
        <w:t>Rekonstrukce cvičné kuchyně</w:t>
      </w:r>
      <w:r w:rsidR="00466F64">
        <w:rPr>
          <w:rFonts w:ascii="Calibri Light" w:hAnsi="Calibri Light" w:cs="Calibri Light"/>
          <w:b/>
          <w:bCs/>
          <w:color w:val="595959" w:themeColor="text1" w:themeTint="A6"/>
          <w:sz w:val="32"/>
          <w:szCs w:val="32"/>
        </w:rPr>
        <w:t xml:space="preserve"> – </w:t>
      </w:r>
      <w:r w:rsidR="00466F64" w:rsidRPr="00BB04B8">
        <w:rPr>
          <w:rFonts w:ascii="Calibri Light" w:hAnsi="Calibri Light" w:cs="Calibri Light"/>
          <w:color w:val="595959" w:themeColor="text1" w:themeTint="A6"/>
          <w:sz w:val="32"/>
          <w:szCs w:val="32"/>
        </w:rPr>
        <w:t>Stavební práce</w:t>
      </w:r>
      <w:r w:rsidR="002C19B4">
        <w:rPr>
          <w:rFonts w:ascii="Calibri Light" w:hAnsi="Calibri Light" w:cs="Calibri Light"/>
          <w:color w:val="595959" w:themeColor="text1" w:themeTint="A6"/>
          <w:sz w:val="32"/>
          <w:szCs w:val="32"/>
        </w:rPr>
        <w:t xml:space="preserve"> II</w:t>
      </w:r>
    </w:p>
    <w:p w14:paraId="4B99559B" w14:textId="5121759A" w:rsidR="000B5011" w:rsidRPr="000B5011" w:rsidRDefault="0008288C" w:rsidP="000B5011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Zadavatel</w:t>
      </w:r>
      <w:r w:rsidR="00B532D2" w:rsidRPr="003B407E">
        <w:rPr>
          <w:rFonts w:ascii="Calibri Light" w:hAnsi="Calibri Light" w:cs="Calibri Light"/>
          <w:sz w:val="18"/>
          <w:szCs w:val="18"/>
        </w:rPr>
        <w:t>:</w:t>
      </w:r>
      <w:r w:rsidR="00B532D2" w:rsidRPr="003B407E">
        <w:rPr>
          <w:rFonts w:ascii="Calibri Light" w:hAnsi="Calibri Light" w:cs="Calibri Light"/>
          <w:sz w:val="18"/>
          <w:szCs w:val="18"/>
        </w:rPr>
        <w:tab/>
      </w:r>
      <w:r w:rsidR="00465DC4">
        <w:rPr>
          <w:rFonts w:ascii="Calibri Light" w:hAnsi="Calibri Light" w:cs="Calibri Light"/>
          <w:sz w:val="18"/>
          <w:szCs w:val="18"/>
        </w:rPr>
        <w:t>Hotelová škola, Frenštát</w:t>
      </w:r>
      <w:r w:rsidR="00A83651">
        <w:rPr>
          <w:rFonts w:ascii="Calibri Light" w:hAnsi="Calibri Light" w:cs="Calibri Light"/>
          <w:sz w:val="18"/>
          <w:szCs w:val="18"/>
        </w:rPr>
        <w:t xml:space="preserve"> pod Radhoštěm</w:t>
      </w:r>
      <w:r w:rsidR="00505F2B" w:rsidRPr="00505F2B">
        <w:rPr>
          <w:rFonts w:ascii="Calibri Light" w:hAnsi="Calibri Light" w:cs="Calibri Light"/>
          <w:sz w:val="18"/>
          <w:szCs w:val="18"/>
        </w:rPr>
        <w:t>, příspěvková organizace</w:t>
      </w:r>
    </w:p>
    <w:p w14:paraId="54760A94" w14:textId="066F1E8E" w:rsidR="000B5011" w:rsidRPr="000B5011" w:rsidRDefault="000B5011" w:rsidP="000B5011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0B5011">
        <w:rPr>
          <w:rFonts w:ascii="Calibri Light" w:hAnsi="Calibri Light" w:cs="Calibri Light"/>
          <w:sz w:val="18"/>
          <w:szCs w:val="18"/>
        </w:rPr>
        <w:t xml:space="preserve">se sídlem: </w:t>
      </w:r>
      <w:r w:rsidRPr="000B5011">
        <w:rPr>
          <w:rFonts w:ascii="Calibri Light" w:hAnsi="Calibri Light" w:cs="Calibri Light"/>
          <w:sz w:val="18"/>
          <w:szCs w:val="18"/>
        </w:rPr>
        <w:tab/>
      </w:r>
      <w:r w:rsidR="00465DC4">
        <w:rPr>
          <w:rFonts w:ascii="Calibri Light" w:hAnsi="Calibri Light" w:cs="Calibri Light"/>
          <w:sz w:val="18"/>
          <w:szCs w:val="18"/>
        </w:rPr>
        <w:t>Mariánská 252, 744 01 Frenštát pod Radhoštěm</w:t>
      </w:r>
    </w:p>
    <w:p w14:paraId="4F809F7D" w14:textId="2B458163" w:rsidR="000B5011" w:rsidRPr="000B5011" w:rsidRDefault="000B5011" w:rsidP="000B5011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0B5011">
        <w:rPr>
          <w:rFonts w:ascii="Calibri Light" w:hAnsi="Calibri Light" w:cs="Calibri Light"/>
          <w:sz w:val="18"/>
          <w:szCs w:val="18"/>
        </w:rPr>
        <w:t xml:space="preserve">zastoupena: </w:t>
      </w:r>
      <w:r w:rsidRPr="000B5011">
        <w:rPr>
          <w:rFonts w:ascii="Calibri Light" w:hAnsi="Calibri Light" w:cs="Calibri Light"/>
          <w:sz w:val="18"/>
          <w:szCs w:val="18"/>
        </w:rPr>
        <w:tab/>
      </w:r>
      <w:r w:rsidR="00BD4C4E">
        <w:rPr>
          <w:rFonts w:ascii="Calibri Light" w:hAnsi="Calibri Light" w:cs="Calibri Light"/>
          <w:sz w:val="18"/>
          <w:szCs w:val="18"/>
        </w:rPr>
        <w:t xml:space="preserve">Mgr. </w:t>
      </w:r>
      <w:r w:rsidR="00465DC4">
        <w:rPr>
          <w:rFonts w:ascii="Calibri Light" w:hAnsi="Calibri Light" w:cs="Calibri Light"/>
          <w:sz w:val="18"/>
          <w:szCs w:val="18"/>
        </w:rPr>
        <w:t>Andreou Tobolovou</w:t>
      </w:r>
      <w:r w:rsidR="00466F64">
        <w:rPr>
          <w:rFonts w:ascii="Calibri Light" w:hAnsi="Calibri Light" w:cs="Calibri Light"/>
          <w:sz w:val="18"/>
          <w:szCs w:val="18"/>
        </w:rPr>
        <w:t>, ředitelkou</w:t>
      </w:r>
    </w:p>
    <w:p w14:paraId="0FC78829" w14:textId="25909DC6" w:rsidR="000B5011" w:rsidRPr="00DF0884" w:rsidRDefault="000B5011" w:rsidP="00DF0884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0B5011">
        <w:rPr>
          <w:rFonts w:ascii="Calibri Light" w:hAnsi="Calibri Light" w:cs="Calibri Light"/>
          <w:sz w:val="18"/>
          <w:szCs w:val="18"/>
        </w:rPr>
        <w:t>IČO:</w:t>
      </w:r>
      <w:r w:rsidRPr="000B5011">
        <w:rPr>
          <w:rFonts w:ascii="Calibri Light" w:hAnsi="Calibri Light" w:cs="Calibri Light"/>
          <w:sz w:val="18"/>
          <w:szCs w:val="18"/>
        </w:rPr>
        <w:tab/>
      </w:r>
      <w:r w:rsidRPr="000B5011">
        <w:rPr>
          <w:rFonts w:ascii="Calibri Light" w:hAnsi="Calibri Light" w:cs="Calibri Light"/>
          <w:sz w:val="18"/>
          <w:szCs w:val="18"/>
        </w:rPr>
        <w:tab/>
      </w:r>
      <w:r w:rsidR="00465DC4">
        <w:rPr>
          <w:rFonts w:ascii="Calibri Light" w:hAnsi="Calibri Light" w:cs="Calibri Light"/>
          <w:sz w:val="18"/>
          <w:szCs w:val="18"/>
        </w:rPr>
        <w:t>005 76 441</w:t>
      </w:r>
    </w:p>
    <w:p w14:paraId="3675FDF2" w14:textId="5156A134" w:rsidR="007A5B1C" w:rsidRPr="00DF0884" w:rsidRDefault="00A64F93" w:rsidP="007A5B1C">
      <w:pPr>
        <w:pStyle w:val="Nadpis2"/>
        <w:framePr w:wrap="notBeside"/>
        <w:spacing w:before="240" w:after="240"/>
        <w:rPr>
          <w:rFonts w:ascii="Calibri Light" w:hAnsi="Calibri Light" w:cs="Calibri Light"/>
          <w:bCs/>
        </w:rPr>
      </w:pPr>
      <w:r w:rsidRPr="003B407E">
        <w:rPr>
          <w:rFonts w:ascii="Calibri Light" w:hAnsi="Calibri Light" w:cs="Calibri Light"/>
          <w:bCs/>
        </w:rPr>
        <w:t>identifikace účastníka</w:t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FE4FE4" w:rsidRPr="003B407E" w14:paraId="7341FF2E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60D0A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fyzické nebo právnické osoby: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25FF4D69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3FC9D9ED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76C31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41279DD8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4A64C4A0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A320A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IČO/DIČ: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27DF492D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6A7A3A50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7F7DB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3C0717CB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58C15BB8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BFFFA" w14:textId="46EC9124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</w:t>
            </w:r>
            <w:r w:rsidR="002A374A" w:rsidRPr="003B407E">
              <w:rPr>
                <w:rFonts w:ascii="Calibri Light" w:hAnsi="Calibri Light" w:cs="Calibri Light"/>
                <w:sz w:val="18"/>
                <w:szCs w:val="18"/>
              </w:rPr>
              <w:t>/ e-mailová adresa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28956B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02809EC1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495C3" w14:textId="5604802F" w:rsidR="000D7A61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účastník využívá poddodavatele: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070" w14:textId="77777777" w:rsidR="000D7A61" w:rsidRPr="003B407E" w:rsidRDefault="000D7A61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DF76DA7" w14:textId="05B671CE" w:rsidR="00FE4FE4" w:rsidRPr="003B407E" w:rsidRDefault="000D7A61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3"/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0"/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ANO</w:t>
            </w:r>
          </w:p>
          <w:p w14:paraId="3F142D8C" w14:textId="77777777" w:rsidR="000D7A61" w:rsidRPr="003B407E" w:rsidRDefault="000D7A61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1"/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NE</w:t>
            </w:r>
          </w:p>
          <w:p w14:paraId="3A524DD4" w14:textId="23278B35" w:rsidR="000D7A61" w:rsidRPr="003B407E" w:rsidRDefault="000D7A61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76413488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F256" w14:textId="095F7541" w:rsidR="00FE4FE4" w:rsidRPr="003B407E" w:rsidRDefault="002A374A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podává </w:t>
            </w:r>
            <w:r w:rsidR="00FE4FE4" w:rsidRPr="003B407E">
              <w:rPr>
                <w:rFonts w:ascii="Calibri Light" w:hAnsi="Calibri Light" w:cs="Calibri Light"/>
                <w:sz w:val="18"/>
                <w:szCs w:val="18"/>
              </w:rPr>
              <w:t>účastník společnou nabídku: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3C8" w14:textId="77777777" w:rsidR="000D7A61" w:rsidRPr="003B407E" w:rsidRDefault="000D7A61" w:rsidP="000D7A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4AA10D1" w14:textId="5DAF79BD" w:rsidR="000D7A61" w:rsidRPr="003B407E" w:rsidRDefault="000D7A61" w:rsidP="000D7A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ANO</w:t>
            </w:r>
          </w:p>
          <w:p w14:paraId="7B53ECC7" w14:textId="77777777" w:rsidR="000D7A61" w:rsidRPr="003B407E" w:rsidRDefault="000D7A61" w:rsidP="000D7A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NE</w:t>
            </w:r>
          </w:p>
          <w:p w14:paraId="719B84C4" w14:textId="0DEB70C8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6A25E80" w14:textId="7A4A5703" w:rsidR="002A374A" w:rsidRPr="003B407E" w:rsidRDefault="002A374A" w:rsidP="00112951">
      <w:pPr>
        <w:pStyle w:val="Zkladntextodsazen3"/>
        <w:tabs>
          <w:tab w:val="left" w:pos="0"/>
        </w:tabs>
        <w:ind w:left="0"/>
        <w:jc w:val="both"/>
        <w:rPr>
          <w:rFonts w:ascii="Calibri Light" w:hAnsi="Calibri Light" w:cs="Calibri Light"/>
        </w:rPr>
      </w:pPr>
    </w:p>
    <w:p w14:paraId="10F90E4C" w14:textId="6B2C02BF" w:rsidR="00A64F93" w:rsidRPr="003B407E" w:rsidRDefault="00993B53" w:rsidP="00DF0884">
      <w:pPr>
        <w:pStyle w:val="Nadpis2"/>
        <w:framePr w:wrap="notBeside"/>
        <w:spacing w:before="240" w:after="240"/>
        <w:ind w:left="357" w:hanging="357"/>
        <w:rPr>
          <w:rFonts w:ascii="Calibri Light" w:hAnsi="Calibri Light" w:cs="Calibri Light"/>
          <w:bCs/>
        </w:rPr>
      </w:pPr>
      <w:r w:rsidRPr="003B407E">
        <w:rPr>
          <w:rFonts w:ascii="Calibri Light" w:hAnsi="Calibri Light" w:cs="Calibri Light"/>
          <w:bCs/>
          <w:caps w:val="0"/>
        </w:rPr>
        <w:t>NABÍDKOVÁ CENA (v Kč)</w:t>
      </w:r>
    </w:p>
    <w:p w14:paraId="28E49A03" w14:textId="77777777" w:rsidR="00A64F93" w:rsidRPr="003B407E" w:rsidRDefault="00A64F93" w:rsidP="00A64F93">
      <w:pPr>
        <w:rPr>
          <w:rFonts w:ascii="Calibri Light" w:hAnsi="Calibri Light" w:cs="Calibri Light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2A374A" w:rsidRPr="003B407E" w14:paraId="30B65813" w14:textId="77777777" w:rsidTr="00993B53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0AA099" w14:textId="77777777" w:rsidR="002A374A" w:rsidRPr="003B407E" w:rsidRDefault="00993B53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NABÍDKOVÁ CENA CELKEM</w:t>
            </w:r>
            <w:r w:rsidR="00112951"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2A374A"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bez DPH</w:t>
            </w:r>
          </w:p>
          <w:p w14:paraId="0380DEC2" w14:textId="778D8AB9" w:rsidR="00993B53" w:rsidRPr="003B407E" w:rsidRDefault="00993B53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(hodnotící kritérium)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EE5EC5" w14:textId="5B54EF18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2A374A" w:rsidRPr="003B407E" w14:paraId="6EC80441" w14:textId="77777777" w:rsidTr="00993B53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DA6B2" w14:textId="77777777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samostatně DPH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64655058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A374A" w:rsidRPr="003B407E" w14:paraId="7BED981B" w14:textId="77777777" w:rsidTr="00993B53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12CD" w14:textId="3D667782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NABÍDKOVÁ CENA CELKEM včetně DPH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1DC83E00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7E4144A1" w14:textId="4DD6B2D9" w:rsidR="000D7A61" w:rsidRPr="003B407E" w:rsidRDefault="000D7A61" w:rsidP="00DF0884">
      <w:pPr>
        <w:pStyle w:val="Nadpis2"/>
        <w:framePr w:wrap="notBeside"/>
        <w:spacing w:before="240" w:after="240"/>
        <w:ind w:left="357" w:hanging="357"/>
        <w:rPr>
          <w:rFonts w:ascii="Calibri Light" w:hAnsi="Calibri Light" w:cs="Calibri Light"/>
          <w:bCs/>
        </w:rPr>
      </w:pPr>
      <w:bookmarkStart w:id="2" w:name="_Toc500230506"/>
      <w:r w:rsidRPr="003B407E">
        <w:rPr>
          <w:rFonts w:ascii="Calibri Light" w:hAnsi="Calibri Light" w:cs="Calibri Light"/>
          <w:bCs/>
        </w:rPr>
        <w:t>prohláš</w:t>
      </w:r>
      <w:r w:rsidR="00822E39" w:rsidRPr="003B407E">
        <w:rPr>
          <w:rFonts w:ascii="Calibri Light" w:hAnsi="Calibri Light" w:cs="Calibri Light"/>
          <w:bCs/>
        </w:rPr>
        <w:t>e</w:t>
      </w:r>
      <w:r w:rsidRPr="003B407E">
        <w:rPr>
          <w:rFonts w:ascii="Calibri Light" w:hAnsi="Calibri Light" w:cs="Calibri Light"/>
          <w:bCs/>
        </w:rPr>
        <w:t>ní k zadávacím podmínkám</w:t>
      </w:r>
    </w:p>
    <w:p w14:paraId="75F6BF63" w14:textId="0172B867" w:rsidR="005E6E15" w:rsidRPr="003B407E" w:rsidRDefault="005E6E15" w:rsidP="005E6E15">
      <w:pPr>
        <w:pStyle w:val="Odstnesl"/>
        <w:keepNext/>
        <w:spacing w:before="120"/>
        <w:ind w:left="0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Dodavatel čestně prohlašuje, že plně akceptuje zadávací podmínky veřejné zakázky, a to včetně případných vysvětlení, změn nebo doplnění zadávací dokumentace, a nemá k nim žádné výhrady nebo požadavky na upřesnění,</w:t>
      </w:r>
    </w:p>
    <w:p w14:paraId="18FB6793" w14:textId="3D9A7DA9" w:rsidR="005E6E15" w:rsidRPr="003B407E" w:rsidRDefault="005E6E15" w:rsidP="005E6E15">
      <w:pPr>
        <w:pStyle w:val="Zkladntextodsazen3"/>
        <w:tabs>
          <w:tab w:val="left" w:pos="0"/>
        </w:tabs>
        <w:ind w:left="0"/>
        <w:jc w:val="both"/>
        <w:rPr>
          <w:rFonts w:ascii="Calibri Light" w:hAnsi="Calibri Light" w:cs="Calibri Light"/>
        </w:rPr>
      </w:pPr>
      <w:r w:rsidRPr="003B407E">
        <w:rPr>
          <w:rFonts w:ascii="Calibri Light" w:hAnsi="Calibri Light" w:cs="Calibri Light"/>
          <w:sz w:val="18"/>
          <w:szCs w:val="18"/>
        </w:rPr>
        <w:t>Dodavatel potvrzuje, že se seznámil se všemi dokumenty obsahujícími zadávací podmínky, a to i v jejich vzájemné souvislosti,</w:t>
      </w:r>
      <w:r w:rsidR="00DF0884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shledal je srozumitelné a dostačující pro zpracování nabídky a následné plnění veřejné zakázky</w:t>
      </w:r>
      <w:bookmarkEnd w:id="2"/>
      <w:r w:rsidRPr="003B407E">
        <w:rPr>
          <w:rFonts w:ascii="Calibri Light" w:hAnsi="Calibri Light" w:cs="Calibri Light"/>
          <w:sz w:val="18"/>
          <w:szCs w:val="18"/>
        </w:rPr>
        <w:t>.</w:t>
      </w:r>
    </w:p>
    <w:p w14:paraId="0F1FC371" w14:textId="308A22BF" w:rsidR="0059716A" w:rsidRPr="003B407E" w:rsidRDefault="0059716A" w:rsidP="00DF0884">
      <w:pPr>
        <w:pStyle w:val="Zkladntextodsazen3"/>
        <w:tabs>
          <w:tab w:val="left" w:pos="0"/>
        </w:tabs>
        <w:spacing w:before="240" w:after="240"/>
        <w:ind w:left="0"/>
        <w:jc w:val="both"/>
        <w:rPr>
          <w:rFonts w:ascii="Calibri Light" w:hAnsi="Calibri Light" w:cs="Calibri Light"/>
        </w:rPr>
      </w:pPr>
    </w:p>
    <w:p w14:paraId="13A5EC89" w14:textId="77777777" w:rsidR="00822E39" w:rsidRPr="003B407E" w:rsidRDefault="00822E39" w:rsidP="00DF0884">
      <w:pPr>
        <w:pStyle w:val="Nadpis2"/>
        <w:framePr w:wrap="notBeside"/>
        <w:spacing w:before="240" w:after="240"/>
        <w:ind w:left="357" w:hanging="357"/>
        <w:rPr>
          <w:rFonts w:ascii="Calibri Light" w:hAnsi="Calibri Light" w:cs="Calibri Light"/>
          <w:bCs/>
        </w:rPr>
      </w:pPr>
      <w:r w:rsidRPr="003B407E">
        <w:rPr>
          <w:rFonts w:ascii="Calibri Light" w:hAnsi="Calibri Light" w:cs="Calibri Light"/>
          <w:bCs/>
        </w:rPr>
        <w:lastRenderedPageBreak/>
        <w:t>prohlášení k odpovědnému zadávání veřejné zakázky</w:t>
      </w:r>
    </w:p>
    <w:p w14:paraId="0E934D88" w14:textId="13DD28A6" w:rsidR="004718D6" w:rsidRDefault="003852F8" w:rsidP="00DF0884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r w:rsidRPr="003852F8">
        <w:rPr>
          <w:rFonts w:ascii="Calibri Light" w:hAnsi="Calibri Light" w:cs="Calibri Light"/>
          <w:sz w:val="18"/>
          <w:szCs w:val="18"/>
        </w:rPr>
        <w:t xml:space="preserve">Zadavatel při vytváření zadávacích podmínek pro výběr dodavatele posoudil vzhledem k povaze a smyslu zakázky dodržení zásad sociálně odpovědného zadávání, environmentálně odpovědného zadávání a inovací. </w:t>
      </w:r>
    </w:p>
    <w:p w14:paraId="13A02BAA" w14:textId="2106DFC2" w:rsidR="002D03DB" w:rsidRDefault="003852F8" w:rsidP="002D03DB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Dodavatel čestně</w:t>
      </w:r>
      <w:r w:rsidR="004718D6">
        <w:rPr>
          <w:rFonts w:ascii="Calibri Light" w:hAnsi="Calibri Light" w:cs="Calibri Light"/>
          <w:sz w:val="18"/>
          <w:szCs w:val="18"/>
        </w:rPr>
        <w:t xml:space="preserve"> prohlašuje, že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4718D6" w:rsidRPr="004718D6">
        <w:rPr>
          <w:rFonts w:ascii="Calibri Light" w:hAnsi="Calibri Light" w:cs="Calibri Light"/>
          <w:sz w:val="18"/>
          <w:szCs w:val="18"/>
        </w:rPr>
        <w:t>bere na vědomí, že zadavatel má zájem, s ohledem na povahu a smysl této veřejné</w:t>
      </w:r>
      <w:r w:rsidR="004718D6">
        <w:rPr>
          <w:rFonts w:ascii="Calibri Light" w:hAnsi="Calibri Light" w:cs="Calibri Light"/>
          <w:sz w:val="18"/>
          <w:szCs w:val="18"/>
        </w:rPr>
        <w:t xml:space="preserve"> </w:t>
      </w:r>
      <w:r w:rsidR="004718D6" w:rsidRPr="004718D6">
        <w:rPr>
          <w:rFonts w:ascii="Calibri Light" w:hAnsi="Calibri Light" w:cs="Calibri Light"/>
          <w:sz w:val="18"/>
          <w:szCs w:val="18"/>
        </w:rPr>
        <w:t>zakázky,</w:t>
      </w:r>
      <w:r w:rsidR="00430117">
        <w:rPr>
          <w:rFonts w:ascii="Calibri Light" w:hAnsi="Calibri Light" w:cs="Calibri Light"/>
          <w:sz w:val="18"/>
          <w:szCs w:val="18"/>
        </w:rPr>
        <w:t> </w:t>
      </w:r>
      <w:r w:rsidR="004718D6" w:rsidRPr="004718D6">
        <w:rPr>
          <w:rFonts w:ascii="Calibri Light" w:hAnsi="Calibri Light" w:cs="Calibri Light"/>
          <w:sz w:val="18"/>
          <w:szCs w:val="18"/>
        </w:rPr>
        <w:t>dodržovat zásady sociálně odpovědného zadávání, environmentálně odpovědného zadávání</w:t>
      </w:r>
      <w:r w:rsidR="004718D6">
        <w:rPr>
          <w:rFonts w:ascii="Calibri Light" w:hAnsi="Calibri Light" w:cs="Calibri Light"/>
          <w:sz w:val="18"/>
          <w:szCs w:val="18"/>
        </w:rPr>
        <w:t xml:space="preserve"> </w:t>
      </w:r>
      <w:r w:rsidR="004718D6" w:rsidRPr="004718D6">
        <w:rPr>
          <w:rFonts w:ascii="Calibri Light" w:hAnsi="Calibri Light" w:cs="Calibri Light"/>
          <w:sz w:val="18"/>
          <w:szCs w:val="18"/>
        </w:rPr>
        <w:t>a inovací ve smyslu zákona, přičemž dodavatel je povinen tyto zásady dodržovat. Sociálně</w:t>
      </w:r>
      <w:r w:rsidR="004718D6">
        <w:rPr>
          <w:rFonts w:ascii="Calibri Light" w:hAnsi="Calibri Light" w:cs="Calibri Light"/>
          <w:sz w:val="18"/>
          <w:szCs w:val="18"/>
        </w:rPr>
        <w:t xml:space="preserve"> </w:t>
      </w:r>
      <w:r w:rsidR="004718D6" w:rsidRPr="004718D6">
        <w:rPr>
          <w:rFonts w:ascii="Calibri Light" w:hAnsi="Calibri Light" w:cs="Calibri Light"/>
          <w:sz w:val="18"/>
          <w:szCs w:val="18"/>
        </w:rPr>
        <w:t>odpovědné zadávání kromě důrazu na čistě ekonomické parametry zohledňuje také související</w:t>
      </w:r>
      <w:r w:rsidR="004718D6">
        <w:rPr>
          <w:rFonts w:ascii="Calibri Light" w:hAnsi="Calibri Light" w:cs="Calibri Light"/>
          <w:sz w:val="18"/>
          <w:szCs w:val="18"/>
        </w:rPr>
        <w:t xml:space="preserve"> </w:t>
      </w:r>
      <w:r w:rsidR="004718D6" w:rsidRPr="004718D6">
        <w:rPr>
          <w:rFonts w:ascii="Calibri Light" w:hAnsi="Calibri Light" w:cs="Calibri Light"/>
          <w:sz w:val="18"/>
          <w:szCs w:val="18"/>
        </w:rPr>
        <w:t>dopady zejména v oblasti zaměstnanosti, sociálních a pracovních práv a životního prostředí.</w:t>
      </w:r>
    </w:p>
    <w:p w14:paraId="5A248A75" w14:textId="121A3CEE" w:rsidR="00DF70B8" w:rsidRDefault="004718D6" w:rsidP="008E6487">
      <w:pPr>
        <w:spacing w:before="120" w:after="240"/>
        <w:jc w:val="both"/>
        <w:rPr>
          <w:rFonts w:ascii="Calibri Light" w:hAnsi="Calibri Light" w:cs="Calibri Light"/>
          <w:sz w:val="18"/>
          <w:szCs w:val="18"/>
        </w:rPr>
      </w:pPr>
      <w:r w:rsidRPr="004718D6">
        <w:rPr>
          <w:rFonts w:ascii="Calibri Light" w:hAnsi="Calibri Light" w:cs="Calibri Light"/>
          <w:sz w:val="18"/>
          <w:szCs w:val="18"/>
        </w:rPr>
        <w:t>Zadavatel od dodavatele vyžaduje při plnění předmětu veřejné zakázky zajistit zejména legální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718D6">
        <w:rPr>
          <w:rFonts w:ascii="Calibri Light" w:hAnsi="Calibri Light" w:cs="Calibri Light"/>
          <w:sz w:val="18"/>
          <w:szCs w:val="18"/>
        </w:rPr>
        <w:t>zaměstnávání, férové pracovní podmínky a odpovídající úroveň bezpečnosti práce pro všechny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718D6">
        <w:rPr>
          <w:rFonts w:ascii="Calibri Light" w:hAnsi="Calibri Light" w:cs="Calibri Light"/>
          <w:sz w:val="18"/>
          <w:szCs w:val="18"/>
        </w:rPr>
        <w:t>osoby, které se na plnění veřejné zakázky budou podílet. Dodavatel je povinen zajistit tento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718D6">
        <w:rPr>
          <w:rFonts w:ascii="Calibri Light" w:hAnsi="Calibri Light" w:cs="Calibri Light"/>
          <w:sz w:val="18"/>
          <w:szCs w:val="18"/>
        </w:rPr>
        <w:t>požadavek zadavatele i u sv</w:t>
      </w:r>
      <w:r>
        <w:rPr>
          <w:rFonts w:ascii="Calibri Light" w:hAnsi="Calibri Light" w:cs="Calibri Light"/>
          <w:sz w:val="18"/>
          <w:szCs w:val="18"/>
        </w:rPr>
        <w:t>ý</w:t>
      </w:r>
      <w:r w:rsidRPr="004718D6">
        <w:rPr>
          <w:rFonts w:ascii="Calibri Light" w:hAnsi="Calibri Light" w:cs="Calibri Light"/>
          <w:sz w:val="18"/>
          <w:szCs w:val="18"/>
        </w:rPr>
        <w:t>ch poddodavatelů.</w:t>
      </w:r>
    </w:p>
    <w:p w14:paraId="09D41792" w14:textId="77777777" w:rsidR="00AC7E41" w:rsidRPr="00AC7E41" w:rsidRDefault="00AC7E41" w:rsidP="00AC7E41">
      <w:pPr>
        <w:widowControl w:val="0"/>
        <w:numPr>
          <w:ilvl w:val="0"/>
          <w:numId w:val="1"/>
        </w:numPr>
        <w:suppressAutoHyphens/>
        <w:spacing w:before="120" w:after="120"/>
        <w:jc w:val="both"/>
        <w:rPr>
          <w:rFonts w:ascii="Calibri Light" w:hAnsi="Calibri Light" w:cs="Calibri Light"/>
          <w:b/>
          <w:sz w:val="24"/>
          <w:szCs w:val="24"/>
        </w:rPr>
      </w:pPr>
      <w:r w:rsidRPr="00AC7E41">
        <w:rPr>
          <w:rFonts w:ascii="Calibri Light" w:hAnsi="Calibri Light" w:cs="Calibri Light"/>
          <w:b/>
          <w:sz w:val="24"/>
          <w:szCs w:val="24"/>
        </w:rPr>
        <w:t>PROHLÁŠENÍ K PODMÍNKÁM DNSH</w:t>
      </w:r>
    </w:p>
    <w:p w14:paraId="2898E062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Dodavatel čestně prohlašuje, že je obeznámen a bere na vědomí podmínky vycházející z principu významného nepoškozování enviromentálních cílů („Do not </w:t>
      </w:r>
      <w:proofErr w:type="spellStart"/>
      <w:r w:rsidRPr="00AC7E41">
        <w:rPr>
          <w:rFonts w:ascii="Calibri Light" w:hAnsi="Calibri Light" w:cs="Calibri Light"/>
          <w:sz w:val="18"/>
          <w:szCs w:val="18"/>
        </w:rPr>
        <w:t>significant</w:t>
      </w:r>
      <w:proofErr w:type="spellEnd"/>
      <w:r w:rsidRPr="00AC7E41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AC7E41">
        <w:rPr>
          <w:rFonts w:ascii="Calibri Light" w:hAnsi="Calibri Light" w:cs="Calibri Light"/>
          <w:sz w:val="18"/>
          <w:szCs w:val="18"/>
        </w:rPr>
        <w:t>harm</w:t>
      </w:r>
      <w:proofErr w:type="spellEnd"/>
      <w:r w:rsidRPr="00AC7E41">
        <w:rPr>
          <w:rFonts w:ascii="Calibri Light" w:hAnsi="Calibri Light" w:cs="Calibri Light"/>
          <w:sz w:val="18"/>
          <w:szCs w:val="18"/>
        </w:rPr>
        <w:t>“, DNSH), vycházejícího z článku č. 17 nařízení Evropského parlamentu a Rady (EU) 2020/852 ze dne 18. června 2020 o zřízení rámce pro usnadnění udržitelných investic a o změně nařízení (EU) 2019/2088.</w:t>
      </w:r>
    </w:p>
    <w:p w14:paraId="0BE4C6C1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Dodavatel dále prohlašuje, že nezařadí do cenové nabídky mezi oceněné položky na:</w:t>
      </w:r>
    </w:p>
    <w:p w14:paraId="62A98199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investice do výroby, zpracování, přepravy, distribuce, skladování nebo spalování fosilních paliv včetně investic do materiálního využití fosilních paliv;</w:t>
      </w:r>
    </w:p>
    <w:p w14:paraId="1BDDC039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nové spotřebiče, které nesplňují nejvyšší dostupnou energetickou třídu dle příslušné legislativy pro daný typ spotřebiče;</w:t>
      </w:r>
    </w:p>
    <w:p w14:paraId="252404EE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71DDD71B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zařízení využívajících vodu, které nesplňují následující podmínky:</w:t>
      </w:r>
    </w:p>
    <w:p w14:paraId="66920CEF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sprchy mají maximální průtok vody 8 l/min;</w:t>
      </w:r>
    </w:p>
    <w:p w14:paraId="0C071CD8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WC, zahrnující soupravy, mísy a splachovací nádrže, mají úplný objem splachovací vody maximálně 6 l. a maximální průměrný objem splachovací vody 3,5l;</w:t>
      </w:r>
    </w:p>
    <w:p w14:paraId="07EA5327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pisoáry spotřebují maximálně 2 l/mísu/hodinu. Splachovací pisoáry mají maximální úplný objem splachovací vody 1 l;</w:t>
      </w:r>
    </w:p>
    <w:p w14:paraId="4384B9FD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umyvadlové baterie a kuchyňské baterie mají maximální průtok 6 l/min.</w:t>
      </w:r>
    </w:p>
    <w:p w14:paraId="55DFE8F0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zařízení bateriové akumulace pro obnovitelné zdroje energie, které jsou na bázi olova, </w:t>
      </w:r>
      <w:proofErr w:type="spellStart"/>
      <w:r w:rsidRPr="00AC7E41">
        <w:rPr>
          <w:rFonts w:ascii="Calibri Light" w:hAnsi="Calibri Light" w:cs="Calibri Light"/>
          <w:sz w:val="18"/>
          <w:szCs w:val="18"/>
        </w:rPr>
        <w:t>NiCd</w:t>
      </w:r>
      <w:proofErr w:type="spellEnd"/>
      <w:r w:rsidRPr="00AC7E41">
        <w:rPr>
          <w:rFonts w:ascii="Calibri Light" w:hAnsi="Calibri Light" w:cs="Calibri Light"/>
          <w:sz w:val="18"/>
          <w:szCs w:val="18"/>
        </w:rPr>
        <w:t xml:space="preserve"> a </w:t>
      </w:r>
      <w:proofErr w:type="spellStart"/>
      <w:r w:rsidRPr="00AC7E41">
        <w:rPr>
          <w:rFonts w:ascii="Calibri Light" w:hAnsi="Calibri Light" w:cs="Calibri Light"/>
          <w:sz w:val="18"/>
          <w:szCs w:val="18"/>
        </w:rPr>
        <w:t>NiMH</w:t>
      </w:r>
      <w:proofErr w:type="spellEnd"/>
      <w:r w:rsidRPr="00AC7E41">
        <w:rPr>
          <w:rFonts w:ascii="Calibri Light" w:hAnsi="Calibri Light" w:cs="Calibri Light"/>
          <w:sz w:val="18"/>
          <w:szCs w:val="18"/>
        </w:rPr>
        <w:t>;</w:t>
      </w:r>
    </w:p>
    <w:p w14:paraId="09F82AB7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pořízení kotlů na biomasu, které nesplňují následující podmínky:</w:t>
      </w:r>
    </w:p>
    <w:p w14:paraId="108B54B2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jsou v souladu s kritérii udržitelnosti a úspor emisí skleníkových plynů stanovenými v článku 29 směrnice (EU) 2018/2001 o podpoře využívání energie z obnovitelných zdrojů („směrnice o obnovitelných zdrojích energie“, „RED II“). Tyto požadavky se budou vztahovat na všechna zařízení bez ohledu na prahové hodnoty uvedené ve směrnici RED II;</w:t>
      </w:r>
    </w:p>
    <w:p w14:paraId="4C3CFC91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jsou v souladu s posouzením trajektorií udržitelného využívání bioenergie a dodávek biomasy v Česku a jeho dopadů na využití půdy, změny ve využití půdy, lesní propady uhlíku a biologickou rozmanitost, jakož i vlivu na kvalitu ovzduší;</w:t>
      </w:r>
    </w:p>
    <w:p w14:paraId="5AB22097" w14:textId="77777777" w:rsidR="00AC7E41" w:rsidRPr="00AC7E41" w:rsidRDefault="00AC7E41" w:rsidP="00AC7E41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výsadbu zeleně, které nesplňují následující podmínku:</w:t>
      </w:r>
    </w:p>
    <w:p w14:paraId="7E99197E" w14:textId="77777777" w:rsidR="00AC7E41" w:rsidRPr="00AC7E41" w:rsidRDefault="00AC7E41" w:rsidP="00AC7E41">
      <w:pPr>
        <w:widowControl w:val="0"/>
        <w:numPr>
          <w:ilvl w:val="1"/>
          <w:numId w:val="33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při výsadbě zeleně se použijí pouze stanovištně vhodné dřeviny, které zajistí odolnost vůči klimatu a zároveň nebudou mít negativní dopad z pohledu biologické rozmanitosti.</w:t>
      </w:r>
    </w:p>
    <w:p w14:paraId="5273F268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Zadavatel stanovuje podmínku plnění předmětu veřejné zakázky ve vztahu ke vzniku stavebního a demoličního odpadu, a to že nejméně 70 % (hmotnostních) stavebního a demoličního odpadu, neklasifikovaného jako nebezpečný, vzniklého na staveništi musí být připraveno k opětovnému použití, recyklaci a k jiným druhům materiálového využití, a to včetně zásypů, při nichž jsou jiné materiály nahrazeny odpadem. </w:t>
      </w:r>
    </w:p>
    <w:p w14:paraId="45274E62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Dle směrnice Evropského parlamentu a Rady (ES) č. 98/2008 o odpadech a zrušení některých směrnic, je odpadem jakákoli látka nebo předmět, kterých se držitel zbavuje nebo má v úmyslu se zbavit nebo se od něho požaduje, aby se jich zbavil. Směrnice dále stanovuje hierarchii způsobů nakládání s odpady jako pořadí priorit pro politiku v oblasti předcházení vzniků </w:t>
      </w:r>
      <w:r w:rsidRPr="00AC7E41">
        <w:rPr>
          <w:rFonts w:ascii="Calibri Light" w:hAnsi="Calibri Light" w:cs="Calibri Light"/>
          <w:sz w:val="18"/>
          <w:szCs w:val="18"/>
        </w:rPr>
        <w:lastRenderedPageBreak/>
        <w:t xml:space="preserve">odpadů a nakládání s nimi. </w:t>
      </w:r>
    </w:p>
    <w:p w14:paraId="0FF6CDD6" w14:textId="77777777" w:rsidR="00AC7E41" w:rsidRPr="00AC7E41" w:rsidRDefault="00AC7E41" w:rsidP="00AC7E41">
      <w:pPr>
        <w:widowControl w:val="0"/>
        <w:numPr>
          <w:ilvl w:val="0"/>
          <w:numId w:val="37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předcházení vzniku </w:t>
      </w:r>
    </w:p>
    <w:p w14:paraId="0A43421E" w14:textId="77777777" w:rsidR="00AC7E41" w:rsidRPr="00AC7E41" w:rsidRDefault="00AC7E41" w:rsidP="00AC7E41">
      <w:pPr>
        <w:widowControl w:val="0"/>
        <w:numPr>
          <w:ilvl w:val="0"/>
          <w:numId w:val="37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příprava na opětovné použití </w:t>
      </w:r>
    </w:p>
    <w:p w14:paraId="514C354A" w14:textId="77777777" w:rsidR="00AC7E41" w:rsidRPr="00AC7E41" w:rsidRDefault="00AC7E41" w:rsidP="00AC7E41">
      <w:pPr>
        <w:widowControl w:val="0"/>
        <w:numPr>
          <w:ilvl w:val="0"/>
          <w:numId w:val="37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recyklace </w:t>
      </w:r>
    </w:p>
    <w:p w14:paraId="73A54127" w14:textId="77777777" w:rsidR="00AC7E41" w:rsidRPr="00AC7E41" w:rsidRDefault="00AC7E41" w:rsidP="00AC7E41">
      <w:pPr>
        <w:widowControl w:val="0"/>
        <w:numPr>
          <w:ilvl w:val="0"/>
          <w:numId w:val="37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jiné využití např. zásypy, energetické využití</w:t>
      </w:r>
    </w:p>
    <w:p w14:paraId="25C17D3D" w14:textId="77777777" w:rsidR="00AC7E41" w:rsidRPr="00AC7E41" w:rsidRDefault="00AC7E41" w:rsidP="00AC7E41">
      <w:pPr>
        <w:widowControl w:val="0"/>
        <w:numPr>
          <w:ilvl w:val="0"/>
          <w:numId w:val="37"/>
        </w:numPr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5. odstranění </w:t>
      </w:r>
    </w:p>
    <w:p w14:paraId="0AEE619C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Do hmotnostního procenta je započítáván i stavební a demoliční odpad, který je znovu využit, potažmo je předejito jeho vzniku, dle § 3 zákona 541/2020 Sb., o odpadech. Dle hierarchie odpadů se do hmotnostního procenta započítává bod 1-4.</w:t>
      </w:r>
    </w:p>
    <w:p w14:paraId="762345FB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Při realizaci díla je nutné postupovat v souladu s hierarchií způsobů nakládání s odpady a Protokolem EU pro nakládání se stavebním a demoličním odpadem, viz odkaz: </w:t>
      </w:r>
      <w:hyperlink r:id="rId7" w:history="1">
        <w:r w:rsidRPr="00AC7E41">
          <w:rPr>
            <w:rStyle w:val="Hypertextovodkaz"/>
            <w:rFonts w:ascii="Calibri Light" w:hAnsi="Calibri Light" w:cs="Calibri Light"/>
            <w:sz w:val="18"/>
            <w:szCs w:val="18"/>
          </w:rPr>
          <w:t>https://www.mpo.cz/assets/cz/stavebnictvi-a-suroviny/strategicke-dokumenty-pro-udrzitelne-stavebnictvi/2018/11/Protocol-Ares_2016_5840668-101016_Cze.pdf</w:t>
        </w:r>
      </w:hyperlink>
    </w:p>
    <w:p w14:paraId="4240A3BF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Před zahájením demolice nebo rekonstrukce objektu provedena bližší identifikace předpokládaných odpadních materiálů na staveništi zahrnující také obalové materiály stavebních výrobků. Identifikace bude provedena kvalifikovaných odhadem s ohledem na druh odpadu a jeho zatřídění (podle vyhlášky č. 8/2021 Sb.) a stanovení přibližného objemu (hmotnosti). Zvlášť bude identifikován nebezpečný odpad v rozsahu vyhlášky č. 8/2021 Sb.</w:t>
      </w:r>
    </w:p>
    <w:p w14:paraId="44D6B013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Pro identifikaci odpadních materiálů na staveništi bude zpracován plán nakládání s odpadem. Identifikaci zpracuje dodavatel a bude potvrzena příslušným technickým dozorem investora. Plán bude součástí stavebního deníku.</w:t>
      </w:r>
    </w:p>
    <w:p w14:paraId="7B2DB2FF" w14:textId="59F212BF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b/>
          <w:bCs/>
          <w:sz w:val="18"/>
          <w:szCs w:val="18"/>
        </w:rPr>
        <w:t>Zhotovitel je objednateli povinen poskytnout dokumenty provozovatele skládky – doložení, že je jejich zařízení určené pro nakládání s odpady dle platných právních předpisů a vážní lístky o množství, druhu a kategorii předaného odpadu vč. uvedení identifikačního čísla zařízení</w:t>
      </w:r>
      <w:r w:rsidR="009E1546">
        <w:rPr>
          <w:rFonts w:ascii="Calibri Light" w:hAnsi="Calibri Light" w:cs="Calibri Light"/>
          <w:b/>
          <w:bCs/>
          <w:sz w:val="18"/>
          <w:szCs w:val="18"/>
        </w:rPr>
        <w:t>.</w:t>
      </w:r>
    </w:p>
    <w:p w14:paraId="2338E8A2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 xml:space="preserve">Součástí předání díla bude závěrečná zpráva o nakládání s odpadem, která porovná konečný stav s plánem a zdůvodní odchylky. Přílohou závěrečné zprávy budou doklady, které budou potvrzovat výši konečného hmotnostního procenta a výpočty. </w:t>
      </w:r>
    </w:p>
    <w:p w14:paraId="41AF693A" w14:textId="77777777" w:rsidR="00A83651" w:rsidRPr="00DF0884" w:rsidRDefault="00A83651" w:rsidP="00A83651">
      <w:pPr>
        <w:pStyle w:val="Nadpis2"/>
        <w:framePr w:h="592" w:hRule="exact" w:wrap="notBeside" w:hAnchor="page" w:x="1369" w:y="470"/>
        <w:spacing w:before="240" w:after="240"/>
        <w:ind w:left="357" w:hanging="357"/>
        <w:rPr>
          <w:rFonts w:ascii="Calibri Light" w:hAnsi="Calibri Light" w:cs="Calibri Light"/>
          <w:bCs/>
        </w:rPr>
      </w:pPr>
      <w:r w:rsidRPr="005F6A94">
        <w:rPr>
          <w:rFonts w:ascii="Calibri Light" w:hAnsi="Calibri Light" w:cs="Calibri Light"/>
          <w:bCs/>
        </w:rPr>
        <w:t>PROHLÁŠENÍ O SPLNĚNÍ ZÁKLADNÍ ZPŮSOBILOSTI</w:t>
      </w:r>
    </w:p>
    <w:p w14:paraId="59415C67" w14:textId="77777777" w:rsidR="00AC7E41" w:rsidRPr="00AC7E41" w:rsidRDefault="00AC7E41" w:rsidP="00AC7E41">
      <w:pPr>
        <w:widowControl w:val="0"/>
        <w:suppressAutoHyphens/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AC7E41">
        <w:rPr>
          <w:rFonts w:ascii="Calibri Light" w:hAnsi="Calibri Light" w:cs="Calibri Light"/>
          <w:sz w:val="18"/>
          <w:szCs w:val="18"/>
        </w:rPr>
        <w:t>Závěrečná zpráva bude zpracována dodavatelem bude a potvrzena příslušným technickým dozorem investora.</w:t>
      </w:r>
    </w:p>
    <w:p w14:paraId="5102E5EB" w14:textId="77777777" w:rsidR="005C56D2" w:rsidRPr="00776781" w:rsidRDefault="005C56D2" w:rsidP="005C56D2">
      <w:pPr>
        <w:pStyle w:val="Odstnesl"/>
        <w:spacing w:before="240"/>
        <w:ind w:left="0"/>
        <w:rPr>
          <w:rFonts w:ascii="Calibri Light" w:hAnsi="Calibri Light" w:cs="Calibri Light"/>
          <w:sz w:val="18"/>
          <w:szCs w:val="18"/>
        </w:rPr>
      </w:pPr>
      <w:r w:rsidRPr="00D24B96">
        <w:rPr>
          <w:rFonts w:ascii="Calibri Light" w:hAnsi="Calibri Light" w:cs="Calibri Light"/>
          <w:b/>
          <w:bCs/>
          <w:sz w:val="18"/>
          <w:szCs w:val="18"/>
        </w:rPr>
        <w:t>Dodavatel čestně prohlašuje</w:t>
      </w:r>
      <w:r w:rsidRPr="00776781">
        <w:rPr>
          <w:rFonts w:ascii="Calibri Light" w:hAnsi="Calibri Light" w:cs="Calibri Light"/>
          <w:sz w:val="18"/>
          <w:szCs w:val="18"/>
        </w:rPr>
        <w:t xml:space="preserve">, že je způsobilý k plnění veřejné zakázky </w:t>
      </w:r>
      <w:r w:rsidRPr="00D24B96">
        <w:rPr>
          <w:rFonts w:ascii="Calibri Light" w:hAnsi="Calibri Light" w:cs="Calibri Light"/>
          <w:b/>
          <w:bCs/>
          <w:sz w:val="18"/>
          <w:szCs w:val="18"/>
        </w:rPr>
        <w:t xml:space="preserve">v </w:t>
      </w:r>
      <w:bookmarkStart w:id="3" w:name="_Toc492370945"/>
      <w:bookmarkStart w:id="4" w:name="_Toc492371371"/>
      <w:bookmarkStart w:id="5" w:name="_Toc492376118"/>
      <w:r w:rsidRPr="00D24B96">
        <w:rPr>
          <w:rFonts w:ascii="Calibri Light" w:hAnsi="Calibri Light" w:cs="Calibri Light"/>
          <w:b/>
          <w:bCs/>
          <w:sz w:val="18"/>
          <w:szCs w:val="18"/>
        </w:rPr>
        <w:t xml:space="preserve">obdobě § 74 </w:t>
      </w:r>
      <w:bookmarkEnd w:id="3"/>
      <w:bookmarkEnd w:id="4"/>
      <w:bookmarkEnd w:id="5"/>
      <w:r w:rsidRPr="00D24B96">
        <w:rPr>
          <w:rFonts w:ascii="Calibri Light" w:hAnsi="Calibri Light" w:cs="Calibri Light"/>
          <w:b/>
          <w:bCs/>
          <w:sz w:val="18"/>
          <w:szCs w:val="18"/>
        </w:rPr>
        <w:t>ZZVZ</w:t>
      </w:r>
      <w:r w:rsidRPr="00776781">
        <w:rPr>
          <w:rFonts w:ascii="Calibri Light" w:hAnsi="Calibri Light" w:cs="Calibri Light"/>
          <w:sz w:val="18"/>
          <w:szCs w:val="18"/>
        </w:rPr>
        <w:t>, neboť:</w:t>
      </w:r>
    </w:p>
    <w:p w14:paraId="5C0F5E5D" w14:textId="2AEF3A9B" w:rsidR="00110927" w:rsidRPr="003B407E" w:rsidRDefault="00110927" w:rsidP="005C56D2">
      <w:pPr>
        <w:pStyle w:val="Odstavecseseznamem"/>
        <w:numPr>
          <w:ilvl w:val="0"/>
          <w:numId w:val="9"/>
        </w:numPr>
        <w:suppressAutoHyphens/>
        <w:spacing w:before="120" w:after="120"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nebyl v zemi svého sídla v posledních 5 letech před zahájením </w:t>
      </w:r>
      <w:r w:rsidR="00542873">
        <w:rPr>
          <w:rFonts w:ascii="Calibri Light" w:hAnsi="Calibri Light" w:cs="Calibri Light"/>
          <w:sz w:val="18"/>
          <w:szCs w:val="18"/>
        </w:rPr>
        <w:t>výběrového</w:t>
      </w:r>
      <w:r w:rsidRPr="003B407E">
        <w:rPr>
          <w:rFonts w:ascii="Calibri Light" w:hAnsi="Calibri Light" w:cs="Calibri Light"/>
          <w:sz w:val="18"/>
          <w:szCs w:val="18"/>
        </w:rPr>
        <w:t xml:space="preserve"> řízení pravomocně odsouzen pro níže uvedený trestný čin nebo obdobný trestný čin podle právního řádu země sídla dodavatele, kdy k zahlazeným odsouzením se nepřihlíží, a to:</w:t>
      </w:r>
    </w:p>
    <w:p w14:paraId="54A40B92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345CCE8F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trestný čin obchodování s lidmi,</w:t>
      </w:r>
    </w:p>
    <w:p w14:paraId="676D1AB7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tyto trestné činy proti majetku:</w:t>
      </w:r>
    </w:p>
    <w:p w14:paraId="5FA6C55B" w14:textId="77777777" w:rsidR="00110927" w:rsidRPr="003B407E" w:rsidRDefault="00110927" w:rsidP="009A071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podvod,</w:t>
      </w:r>
    </w:p>
    <w:p w14:paraId="1BEE1CF6" w14:textId="77777777" w:rsidR="00110927" w:rsidRPr="003B407E" w:rsidRDefault="00110927" w:rsidP="009A071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úvěrový podvod,</w:t>
      </w:r>
    </w:p>
    <w:p w14:paraId="18D9C83C" w14:textId="77777777" w:rsidR="00110927" w:rsidRPr="003B407E" w:rsidRDefault="00110927" w:rsidP="009A071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dotační podvod,</w:t>
      </w:r>
    </w:p>
    <w:p w14:paraId="75E3687B" w14:textId="77777777" w:rsidR="00110927" w:rsidRPr="003B407E" w:rsidRDefault="00110927" w:rsidP="009A071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legalizace výnosů z trestné činnosti,</w:t>
      </w:r>
    </w:p>
    <w:p w14:paraId="302C29DA" w14:textId="77777777" w:rsidR="00110927" w:rsidRPr="003B407E" w:rsidRDefault="00110927" w:rsidP="009A071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legalizace výnosů z trestné činnosti z nedbalosti,</w:t>
      </w:r>
    </w:p>
    <w:p w14:paraId="294E4AB7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tyto trestné činy hospodářské:</w:t>
      </w:r>
    </w:p>
    <w:p w14:paraId="3B952300" w14:textId="77777777" w:rsidR="00110927" w:rsidRPr="003B407E" w:rsidRDefault="00110927" w:rsidP="009A071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zneužití informace a postavení v obchodním styku,</w:t>
      </w:r>
    </w:p>
    <w:p w14:paraId="636C8CA4" w14:textId="77777777" w:rsidR="00110927" w:rsidRPr="003B407E" w:rsidRDefault="00110927" w:rsidP="009A071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sjednání výhody při zadání veřejné zakázky, při veřejné soutěži a veřejné dražbě,</w:t>
      </w:r>
    </w:p>
    <w:p w14:paraId="565C6105" w14:textId="77777777" w:rsidR="00110927" w:rsidRPr="003B407E" w:rsidRDefault="00110927" w:rsidP="009A071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pletichy při zadání veřejné zakázky a při veřejné soutěži,</w:t>
      </w:r>
    </w:p>
    <w:p w14:paraId="3102D6CE" w14:textId="77777777" w:rsidR="00110927" w:rsidRPr="003B407E" w:rsidRDefault="00110927" w:rsidP="009A071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pletichy při veřejné dražbě,</w:t>
      </w:r>
    </w:p>
    <w:p w14:paraId="54F77C72" w14:textId="77777777" w:rsidR="00110927" w:rsidRPr="003B407E" w:rsidRDefault="00110927" w:rsidP="009A071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poškození finančních zájmů Evropské unie,</w:t>
      </w:r>
    </w:p>
    <w:p w14:paraId="356DF290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obecně nebezpečné,</w:t>
      </w:r>
    </w:p>
    <w:p w14:paraId="55FF4D49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proti České republice, cizímu státu a mezinárodní organizaci,</w:t>
      </w:r>
    </w:p>
    <w:p w14:paraId="3E44D498" w14:textId="77777777" w:rsidR="00110927" w:rsidRPr="003B407E" w:rsidRDefault="00110927" w:rsidP="009A071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tyto trestné činy proti pořádku ve věcech veřejných</w:t>
      </w:r>
    </w:p>
    <w:p w14:paraId="719C9459" w14:textId="77777777" w:rsidR="00110927" w:rsidRPr="003B407E" w:rsidRDefault="00110927" w:rsidP="009A071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proti výkonu pravomoci orgánu veřejné moci a úřední osoby,</w:t>
      </w:r>
    </w:p>
    <w:p w14:paraId="1EF3FEF7" w14:textId="77777777" w:rsidR="00110927" w:rsidRPr="003B407E" w:rsidRDefault="00110927" w:rsidP="009A071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úředních osob,</w:t>
      </w:r>
    </w:p>
    <w:p w14:paraId="1188FB1D" w14:textId="77777777" w:rsidR="00110927" w:rsidRPr="003B407E" w:rsidRDefault="00110927" w:rsidP="009A071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úplatkářství,</w:t>
      </w:r>
    </w:p>
    <w:p w14:paraId="4F162F8C" w14:textId="77777777" w:rsidR="00110927" w:rsidRPr="003B407E" w:rsidRDefault="00110927" w:rsidP="009A071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lastRenderedPageBreak/>
        <w:t>jiná rušení činnosti orgánu veřejné moci.</w:t>
      </w:r>
    </w:p>
    <w:p w14:paraId="212AE78D" w14:textId="77777777" w:rsidR="00110927" w:rsidRPr="003B407E" w:rsidRDefault="00110927" w:rsidP="009A0718">
      <w:pPr>
        <w:pStyle w:val="Odstavecseseznamem"/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nemá v České republice nebo v zemi svého sídla v evidenci daní zachycen splatný daňový nedoplatek,</w:t>
      </w:r>
    </w:p>
    <w:p w14:paraId="0601CFF6" w14:textId="77777777" w:rsidR="00110927" w:rsidRPr="003B407E" w:rsidRDefault="00110927" w:rsidP="009A0718">
      <w:pPr>
        <w:pStyle w:val="Odstavecseseznamem"/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26FC0921" w14:textId="77777777" w:rsidR="00380C01" w:rsidRDefault="00110927" w:rsidP="009A0718">
      <w:pPr>
        <w:pStyle w:val="Odstavecseseznamem"/>
        <w:numPr>
          <w:ilvl w:val="0"/>
          <w:numId w:val="9"/>
        </w:numPr>
        <w:suppressAutoHyphens/>
        <w:spacing w:line="276" w:lineRule="auto"/>
        <w:ind w:left="567" w:hanging="283"/>
        <w:jc w:val="both"/>
        <w:rPr>
          <w:rFonts w:ascii="Calibri Light" w:hAnsi="Calibri Light" w:cs="Calibri Light"/>
          <w:sz w:val="18"/>
          <w:szCs w:val="18"/>
        </w:rPr>
      </w:pPr>
      <w:r w:rsidRPr="00380C01">
        <w:rPr>
          <w:rFonts w:ascii="Calibri Light" w:hAnsi="Calibri Light" w:cs="Calibri Light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597F74A9" w14:textId="3265D90A" w:rsidR="00FF7BAE" w:rsidRPr="00DF0884" w:rsidRDefault="00110927" w:rsidP="009A0718">
      <w:pPr>
        <w:pStyle w:val="Odstavecseseznamem"/>
        <w:numPr>
          <w:ilvl w:val="0"/>
          <w:numId w:val="9"/>
        </w:numPr>
        <w:suppressAutoHyphens/>
        <w:spacing w:line="276" w:lineRule="auto"/>
        <w:ind w:left="567" w:hanging="283"/>
        <w:jc w:val="both"/>
        <w:rPr>
          <w:rFonts w:ascii="Calibri Light" w:hAnsi="Calibri Light" w:cs="Calibri Light"/>
          <w:sz w:val="18"/>
          <w:szCs w:val="18"/>
        </w:rPr>
      </w:pPr>
      <w:r w:rsidRPr="00380C01">
        <w:rPr>
          <w:rFonts w:ascii="Calibri Light" w:hAnsi="Calibri Light" w:cs="Calibri Light"/>
          <w:sz w:val="18"/>
          <w:szCs w:val="18"/>
        </w:rPr>
        <w:t>není v likvidaci</w:t>
      </w:r>
      <w:r w:rsidRPr="003B407E">
        <w:rPr>
          <w:rStyle w:val="Znakapoznpodarou"/>
          <w:rFonts w:ascii="Calibri Light" w:hAnsi="Calibri Light" w:cs="Calibri Light"/>
          <w:sz w:val="18"/>
          <w:szCs w:val="18"/>
        </w:rPr>
        <w:footnoteReference w:id="1"/>
      </w:r>
      <w:r w:rsidRPr="00380C01">
        <w:rPr>
          <w:rFonts w:ascii="Calibri Light" w:hAnsi="Calibri Light" w:cs="Calibri Light"/>
          <w:sz w:val="18"/>
          <w:szCs w:val="18"/>
        </w:rPr>
        <w:t>, proti němuž nebylo vydáno rozhodnutí o úpadku</w:t>
      </w:r>
      <w:r w:rsidRPr="003B407E">
        <w:rPr>
          <w:rStyle w:val="Znakapoznpodarou"/>
          <w:rFonts w:ascii="Calibri Light" w:hAnsi="Calibri Light" w:cs="Calibri Light"/>
          <w:sz w:val="18"/>
          <w:szCs w:val="18"/>
        </w:rPr>
        <w:footnoteReference w:id="2"/>
      </w:r>
      <w:r w:rsidRPr="00380C01">
        <w:rPr>
          <w:rFonts w:ascii="Calibri Light" w:hAnsi="Calibri Light" w:cs="Calibri Light"/>
          <w:sz w:val="18"/>
          <w:szCs w:val="18"/>
        </w:rPr>
        <w:t>, vůči němuž nebyla nařízena nucená správa podle jiného právního předpisu</w:t>
      </w:r>
      <w:r w:rsidRPr="003B407E">
        <w:rPr>
          <w:rStyle w:val="Znakapoznpodarou"/>
          <w:rFonts w:ascii="Calibri Light" w:hAnsi="Calibri Light" w:cs="Calibri Light"/>
          <w:sz w:val="18"/>
          <w:szCs w:val="18"/>
        </w:rPr>
        <w:footnoteReference w:id="3"/>
      </w:r>
      <w:r w:rsidRPr="00380C01">
        <w:rPr>
          <w:rFonts w:ascii="Calibri Light" w:hAnsi="Calibri Light" w:cs="Calibri Light"/>
          <w:sz w:val="18"/>
          <w:szCs w:val="18"/>
        </w:rPr>
        <w:t xml:space="preserve"> nebo v obdobné situaci podle právního řádu země sídla dodavatele.</w:t>
      </w:r>
    </w:p>
    <w:p w14:paraId="746E988F" w14:textId="667AE8EA" w:rsidR="00110927" w:rsidRPr="005F6A94" w:rsidRDefault="00110927" w:rsidP="00DF0884">
      <w:pPr>
        <w:pStyle w:val="Nadpis2"/>
        <w:framePr w:wrap="notBeside"/>
        <w:spacing w:before="240" w:after="240"/>
        <w:rPr>
          <w:rFonts w:ascii="Calibri Light" w:hAnsi="Calibri Light" w:cs="Calibri Light"/>
          <w:bCs/>
        </w:rPr>
      </w:pPr>
      <w:r w:rsidRPr="005F6A94">
        <w:rPr>
          <w:rFonts w:ascii="Calibri Light" w:hAnsi="Calibri Light" w:cs="Calibri Light"/>
          <w:bCs/>
        </w:rPr>
        <w:t>prohlášení k profesní způsobilosti</w:t>
      </w:r>
    </w:p>
    <w:p w14:paraId="4FA1FFCD" w14:textId="77777777" w:rsidR="005C56D2" w:rsidRPr="00776781" w:rsidRDefault="005C56D2" w:rsidP="005C56D2">
      <w:pPr>
        <w:pStyle w:val="Zkladntextodsazen3"/>
        <w:spacing w:before="120"/>
        <w:ind w:left="0"/>
        <w:jc w:val="both"/>
        <w:rPr>
          <w:rFonts w:ascii="Calibri Light" w:hAnsi="Calibri Light" w:cs="Calibri Light"/>
          <w:sz w:val="18"/>
          <w:szCs w:val="18"/>
        </w:rPr>
      </w:pPr>
      <w:r w:rsidRPr="00D24B96">
        <w:rPr>
          <w:rFonts w:ascii="Calibri Light" w:hAnsi="Calibri Light" w:cs="Calibri Light"/>
          <w:b/>
          <w:bCs/>
          <w:sz w:val="18"/>
          <w:szCs w:val="18"/>
        </w:rPr>
        <w:t>Dodavatel čestné prohlašuje</w:t>
      </w:r>
      <w:r w:rsidRPr="00776781">
        <w:rPr>
          <w:rFonts w:ascii="Calibri Light" w:hAnsi="Calibri Light" w:cs="Calibri Light"/>
          <w:sz w:val="18"/>
          <w:szCs w:val="18"/>
        </w:rPr>
        <w:t xml:space="preserve">, že je profesně způsobilý k plnění veřejné zakázky </w:t>
      </w:r>
      <w:r w:rsidRPr="00D24B96">
        <w:rPr>
          <w:rFonts w:ascii="Calibri Light" w:hAnsi="Calibri Light" w:cs="Calibri Light"/>
          <w:b/>
          <w:bCs/>
          <w:sz w:val="18"/>
          <w:szCs w:val="18"/>
        </w:rPr>
        <w:t>v obdobě § 77 odst. 1 a 2 písm. a) ZZVZ</w:t>
      </w:r>
      <w:r w:rsidRPr="00776781">
        <w:rPr>
          <w:rFonts w:ascii="Calibri Light" w:hAnsi="Calibri Light" w:cs="Calibri Light"/>
          <w:sz w:val="18"/>
          <w:szCs w:val="18"/>
        </w:rPr>
        <w:t>, neboť:</w:t>
      </w:r>
    </w:p>
    <w:p w14:paraId="16CD7F0A" w14:textId="77777777" w:rsidR="00110927" w:rsidRPr="003B407E" w:rsidRDefault="00110927" w:rsidP="005D2F6D">
      <w:pPr>
        <w:pStyle w:val="Zkladntextodsazen3"/>
        <w:spacing w:before="120"/>
        <w:ind w:left="709" w:hanging="425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a)</w:t>
      </w:r>
      <w:r w:rsidRPr="003B407E">
        <w:rPr>
          <w:rFonts w:ascii="Calibri Light" w:hAnsi="Calibri Light" w:cs="Calibri Light"/>
          <w:sz w:val="18"/>
          <w:szCs w:val="18"/>
        </w:rPr>
        <w:tab/>
        <w:t>je zapsán v obchodním rejstříku nebo jiné obdobné evidenci, pokud právní předpis zápis do takové evidence vyžaduje.</w:t>
      </w:r>
    </w:p>
    <w:p w14:paraId="3DB93E99" w14:textId="4320EF9F" w:rsidR="00DE68C8" w:rsidRDefault="00110927" w:rsidP="00465DC4">
      <w:pPr>
        <w:spacing w:before="120" w:after="240"/>
        <w:ind w:left="709" w:hanging="425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b)</w:t>
      </w:r>
      <w:r w:rsidRPr="003B407E">
        <w:rPr>
          <w:rFonts w:ascii="Calibri Light" w:hAnsi="Calibri Light" w:cs="Calibri Light"/>
          <w:sz w:val="18"/>
          <w:szCs w:val="18"/>
        </w:rPr>
        <w:tab/>
      </w:r>
      <w:r w:rsidR="00DE68C8" w:rsidRPr="003B407E">
        <w:rPr>
          <w:rFonts w:ascii="Calibri Light" w:hAnsi="Calibri Light" w:cs="Calibri Light"/>
          <w:sz w:val="18"/>
          <w:szCs w:val="18"/>
        </w:rPr>
        <w:t>j</w:t>
      </w:r>
      <w:r w:rsidRPr="003B407E">
        <w:rPr>
          <w:rFonts w:ascii="Calibri Light" w:hAnsi="Calibri Light" w:cs="Calibri Light"/>
          <w:sz w:val="18"/>
          <w:szCs w:val="18"/>
        </w:rPr>
        <w:t>e oprávněn podnikat v rozsahu odpovídajícímu předmětu veřejné zakázky, pokud jiné právní předpisy takové oprávnění vyžadují (např. výpis z živnostenského rejstříku či obdobná licence).</w:t>
      </w:r>
      <w:r w:rsidR="00DE68C8" w:rsidRPr="003B407E">
        <w:rPr>
          <w:rFonts w:ascii="Calibri Light" w:hAnsi="Calibri Light" w:cs="Calibri Light"/>
          <w:sz w:val="18"/>
          <w:szCs w:val="18"/>
        </w:rPr>
        <w:t xml:space="preserve"> </w:t>
      </w:r>
      <w:r w:rsidR="00DE68C8" w:rsidRPr="0091412F">
        <w:rPr>
          <w:rFonts w:ascii="Calibri Light" w:hAnsi="Calibri Light" w:cs="Calibri Light"/>
          <w:b/>
          <w:bCs/>
          <w:sz w:val="18"/>
          <w:szCs w:val="18"/>
          <w:lang w:eastAsia="cs-CZ"/>
        </w:rPr>
        <w:t xml:space="preserve">Předmět </w:t>
      </w:r>
      <w:proofErr w:type="gramStart"/>
      <w:r w:rsidR="00DE68C8" w:rsidRPr="0091412F">
        <w:rPr>
          <w:rFonts w:ascii="Calibri Light" w:hAnsi="Calibri Light" w:cs="Calibri Light"/>
          <w:b/>
          <w:bCs/>
          <w:sz w:val="18"/>
          <w:szCs w:val="18"/>
          <w:lang w:eastAsia="cs-CZ"/>
        </w:rPr>
        <w:t>podnikání</w:t>
      </w:r>
      <w:r w:rsidR="00DE68C8" w:rsidRPr="003B407E">
        <w:rPr>
          <w:rFonts w:ascii="Calibri Light" w:hAnsi="Calibri Light" w:cs="Calibri Light"/>
          <w:sz w:val="18"/>
          <w:szCs w:val="18"/>
          <w:lang w:eastAsia="cs-CZ"/>
        </w:rPr>
        <w:t xml:space="preserve"> </w:t>
      </w:r>
      <w:r w:rsidR="005C746B">
        <w:rPr>
          <w:rFonts w:ascii="Calibri Light" w:hAnsi="Calibri Light" w:cs="Calibri Light"/>
          <w:sz w:val="18"/>
          <w:szCs w:val="18"/>
          <w:lang w:eastAsia="cs-CZ"/>
        </w:rPr>
        <w:t xml:space="preserve">- </w:t>
      </w:r>
      <w:r w:rsidR="005C746B" w:rsidRPr="005C746B">
        <w:rPr>
          <w:rFonts w:ascii="Calibri Light" w:hAnsi="Calibri Light" w:cs="Calibri Light"/>
          <w:b/>
          <w:bCs/>
          <w:sz w:val="18"/>
          <w:szCs w:val="18"/>
        </w:rPr>
        <w:t>Provádění</w:t>
      </w:r>
      <w:proofErr w:type="gramEnd"/>
      <w:r w:rsidR="005C746B" w:rsidRPr="005C746B">
        <w:rPr>
          <w:rFonts w:ascii="Calibri Light" w:hAnsi="Calibri Light" w:cs="Calibri Light"/>
          <w:b/>
          <w:bCs/>
          <w:sz w:val="18"/>
          <w:szCs w:val="18"/>
        </w:rPr>
        <w:t xml:space="preserve"> staveb,</w:t>
      </w:r>
      <w:r w:rsidR="005C746B">
        <w:rPr>
          <w:rFonts w:ascii="Calibri Light" w:hAnsi="Calibri Light" w:cs="Calibri Light"/>
          <w:b/>
          <w:bCs/>
          <w:sz w:val="18"/>
          <w:szCs w:val="18"/>
        </w:rPr>
        <w:t> </w:t>
      </w:r>
      <w:r w:rsidR="005C746B" w:rsidRPr="005C746B">
        <w:rPr>
          <w:rFonts w:ascii="Calibri Light" w:hAnsi="Calibri Light" w:cs="Calibri Light"/>
          <w:b/>
          <w:bCs/>
          <w:sz w:val="18"/>
          <w:szCs w:val="18"/>
        </w:rPr>
        <w:t>jejich změn a odstraňování</w:t>
      </w:r>
      <w:r w:rsidR="005C56D2">
        <w:rPr>
          <w:rFonts w:ascii="Calibri Light" w:hAnsi="Calibri Light" w:cs="Calibri Light"/>
          <w:b/>
          <w:bCs/>
          <w:sz w:val="18"/>
          <w:szCs w:val="18"/>
        </w:rPr>
        <w:t>.</w:t>
      </w:r>
    </w:p>
    <w:p w14:paraId="7112FC63" w14:textId="77777777" w:rsidR="005C56D2" w:rsidRDefault="005C56D2" w:rsidP="005C56D2">
      <w:pPr>
        <w:pStyle w:val="Zkladntextodsazen3"/>
        <w:spacing w:before="240" w:after="240"/>
        <w:ind w:left="0"/>
        <w:jc w:val="both"/>
        <w:rPr>
          <w:rFonts w:ascii="Calibri Light" w:hAnsi="Calibri Light" w:cs="Calibri Light"/>
          <w:sz w:val="18"/>
          <w:szCs w:val="18"/>
        </w:rPr>
      </w:pPr>
      <w:r w:rsidRPr="00776781">
        <w:rPr>
          <w:rFonts w:ascii="Calibri Light" w:hAnsi="Calibri Light" w:cs="Calibri Light"/>
          <w:sz w:val="18"/>
          <w:szCs w:val="18"/>
        </w:rPr>
        <w:t>Dodavatel je oprávněn předložit jiný rovnocenný doklad, není-li z důvodů, které mu nelze přičítat, schopen předložit zadavatelem požadovaný doklad. Toto pravidlo se tak uplatní především v situacích, kdy se jednotlivá oprávnění k podnikání „překrývají“ a oprávnění k provádění jedné činnosti je tak možno prokázat prostřednictvím různých dokladů o oprávnění k</w:t>
      </w:r>
      <w:r>
        <w:rPr>
          <w:rFonts w:ascii="Calibri Light" w:hAnsi="Calibri Light" w:cs="Calibri Light"/>
          <w:sz w:val="18"/>
          <w:szCs w:val="18"/>
        </w:rPr>
        <w:t> </w:t>
      </w:r>
      <w:r w:rsidRPr="00776781">
        <w:rPr>
          <w:rFonts w:ascii="Calibri Light" w:hAnsi="Calibri Light" w:cs="Calibri Light"/>
          <w:sz w:val="18"/>
          <w:szCs w:val="18"/>
        </w:rPr>
        <w:t>podnikání.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96"/>
        <w:gridCol w:w="4658"/>
      </w:tblGrid>
      <w:tr w:rsidR="00542873" w:rsidRPr="00CD52C3" w14:paraId="76ACF9ED" w14:textId="77777777" w:rsidTr="003C2AB3">
        <w:tc>
          <w:tcPr>
            <w:tcW w:w="8954" w:type="dxa"/>
            <w:gridSpan w:val="2"/>
            <w:shd w:val="clear" w:color="auto" w:fill="D9D9D9" w:themeFill="background1" w:themeFillShade="D9"/>
          </w:tcPr>
          <w:p w14:paraId="58B0189C" w14:textId="77777777" w:rsidR="00542873" w:rsidRPr="00CD52C3" w:rsidRDefault="00542873" w:rsidP="003C2AB3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D52C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EVIDENCE PODNIKÁNÍ</w:t>
            </w:r>
          </w:p>
        </w:tc>
      </w:tr>
      <w:tr w:rsidR="00542873" w:rsidRPr="003B407E" w14:paraId="727F46A1" w14:textId="77777777" w:rsidTr="003C2AB3">
        <w:tc>
          <w:tcPr>
            <w:tcW w:w="4296" w:type="dxa"/>
            <w:shd w:val="clear" w:color="auto" w:fill="F2F2F2" w:themeFill="background1" w:themeFillShade="F2"/>
          </w:tcPr>
          <w:p w14:paraId="00ECA173" w14:textId="77777777" w:rsidR="00542873" w:rsidRPr="003B407E" w:rsidRDefault="00542873" w:rsidP="003C2AB3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Zapsán v obchodním rejstříku</w:t>
            </w:r>
          </w:p>
        </w:tc>
        <w:tc>
          <w:tcPr>
            <w:tcW w:w="4658" w:type="dxa"/>
          </w:tcPr>
          <w:p w14:paraId="10FA6EF4" w14:textId="77777777" w:rsidR="00542873" w:rsidRPr="003B407E" w:rsidRDefault="00542873" w:rsidP="003C2AB3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Krajský soud, spisová značka</w:t>
            </w:r>
          </w:p>
        </w:tc>
      </w:tr>
      <w:tr w:rsidR="00542873" w:rsidRPr="003B407E" w14:paraId="1183341B" w14:textId="77777777" w:rsidTr="003C2AB3">
        <w:tc>
          <w:tcPr>
            <w:tcW w:w="4296" w:type="dxa"/>
            <w:shd w:val="clear" w:color="auto" w:fill="F2F2F2" w:themeFill="background1" w:themeFillShade="F2"/>
          </w:tcPr>
          <w:p w14:paraId="64FCF075" w14:textId="1894C1C5" w:rsidR="00542873" w:rsidRPr="003B407E" w:rsidRDefault="00542873" w:rsidP="00542873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Zapsán v živnostenském rejstříku </w:t>
            </w:r>
          </w:p>
        </w:tc>
        <w:tc>
          <w:tcPr>
            <w:tcW w:w="4658" w:type="dxa"/>
          </w:tcPr>
          <w:p w14:paraId="56A19FFB" w14:textId="5CE44D00" w:rsidR="00542873" w:rsidRPr="003B407E" w:rsidRDefault="00542873" w:rsidP="00542873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Č. j. ŽÚ, obor podnikání</w:t>
            </w:r>
          </w:p>
        </w:tc>
      </w:tr>
    </w:tbl>
    <w:p w14:paraId="798D980F" w14:textId="77777777" w:rsidR="00542873" w:rsidRPr="005F6A94" w:rsidRDefault="00542873" w:rsidP="00542873">
      <w:pPr>
        <w:pStyle w:val="Nadpis2"/>
        <w:framePr w:wrap="notBeside" w:hAnchor="page" w:x="1326" w:y="451"/>
        <w:spacing w:before="120" w:after="120"/>
        <w:ind w:left="357" w:hanging="357"/>
        <w:rPr>
          <w:rFonts w:ascii="Calibri Light" w:hAnsi="Calibri Light" w:cs="Calibri Light"/>
          <w:bCs/>
        </w:rPr>
      </w:pPr>
      <w:r w:rsidRPr="005F6A94">
        <w:rPr>
          <w:rFonts w:ascii="Calibri Light" w:hAnsi="Calibri Light" w:cs="Calibri Light"/>
          <w:bCs/>
        </w:rPr>
        <w:t>prohlášení k</w:t>
      </w:r>
      <w:r>
        <w:rPr>
          <w:rFonts w:ascii="Calibri Light" w:hAnsi="Calibri Light" w:cs="Calibri Light"/>
          <w:bCs/>
        </w:rPr>
        <w:t> technické kvalifikaci</w:t>
      </w:r>
    </w:p>
    <w:p w14:paraId="1D14C795" w14:textId="77777777" w:rsidR="005C56D2" w:rsidRPr="00776781" w:rsidRDefault="005C56D2" w:rsidP="005C56D2">
      <w:pPr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776781">
        <w:rPr>
          <w:rFonts w:ascii="Calibri Light" w:hAnsi="Calibri Light" w:cs="Calibri Light"/>
          <w:b/>
          <w:bCs/>
          <w:sz w:val="18"/>
          <w:szCs w:val="18"/>
        </w:rPr>
        <w:t>Dodavatel čestné prohlašuje</w:t>
      </w:r>
      <w:r w:rsidRPr="00776781">
        <w:rPr>
          <w:rFonts w:ascii="Calibri Light" w:hAnsi="Calibri Light" w:cs="Calibri Light"/>
          <w:sz w:val="18"/>
          <w:szCs w:val="18"/>
        </w:rPr>
        <w:t xml:space="preserve">, že splňuje podmínky technické kvalifikace </w:t>
      </w:r>
      <w:r w:rsidRPr="00776781">
        <w:rPr>
          <w:rFonts w:ascii="Calibri Light" w:hAnsi="Calibri Light" w:cs="Calibri Light"/>
          <w:b/>
          <w:bCs/>
          <w:sz w:val="18"/>
          <w:szCs w:val="18"/>
        </w:rPr>
        <w:t>v obdobě § 79 odst. 2 písm. a) ZZVZ</w:t>
      </w:r>
      <w:r w:rsidRPr="00776781">
        <w:rPr>
          <w:rFonts w:ascii="Calibri Light" w:hAnsi="Calibri Light" w:cs="Calibri Light"/>
          <w:sz w:val="18"/>
          <w:szCs w:val="18"/>
        </w:rPr>
        <w:t>, v rozsahu stanoveném v zadávací dokumentaci.</w:t>
      </w:r>
    </w:p>
    <w:p w14:paraId="17F95DAA" w14:textId="22F191E2" w:rsidR="00542873" w:rsidRPr="009A0718" w:rsidRDefault="009A0718" w:rsidP="009A0718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9A0718">
        <w:rPr>
          <w:rFonts w:ascii="Calibri Light" w:hAnsi="Calibri Light" w:cs="Calibri Light"/>
          <w:sz w:val="18"/>
          <w:szCs w:val="18"/>
        </w:rPr>
        <w:t xml:space="preserve">Dodavatel splňuje technický kvalifikační předpoklad, pokud v posledních </w:t>
      </w:r>
      <w:r w:rsidRPr="009A0718">
        <w:rPr>
          <w:rFonts w:ascii="Calibri Light" w:hAnsi="Calibri Light" w:cs="Calibri Light"/>
          <w:b/>
          <w:bCs/>
          <w:sz w:val="18"/>
          <w:szCs w:val="18"/>
        </w:rPr>
        <w:t>pěti letech</w:t>
      </w:r>
      <w:r w:rsidRPr="009A0718">
        <w:rPr>
          <w:rFonts w:ascii="Calibri Light" w:hAnsi="Calibri Light" w:cs="Calibri Light"/>
          <w:sz w:val="18"/>
          <w:szCs w:val="18"/>
        </w:rPr>
        <w:t xml:space="preserve"> realizoval alespoň </w:t>
      </w:r>
      <w:r w:rsidRPr="009A0718">
        <w:rPr>
          <w:rFonts w:ascii="Calibri Light" w:hAnsi="Calibri Light" w:cs="Calibri Light"/>
          <w:b/>
          <w:bCs/>
          <w:sz w:val="18"/>
          <w:szCs w:val="18"/>
        </w:rPr>
        <w:t>dvě</w:t>
      </w:r>
      <w:r w:rsidRPr="009A0718">
        <w:rPr>
          <w:rFonts w:ascii="Calibri Light" w:hAnsi="Calibri Light" w:cs="Calibri Light"/>
          <w:sz w:val="18"/>
          <w:szCs w:val="18"/>
        </w:rPr>
        <w:t xml:space="preserve"> dokončené stavební zakázky obdobného charakteru, jako je předmět tohoto výběrového řízení. Celkový finanční objem obou zakázek přitom musí dosahovat </w:t>
      </w:r>
      <w:r w:rsidRPr="009A0718">
        <w:rPr>
          <w:rFonts w:ascii="Calibri Light" w:hAnsi="Calibri Light" w:cs="Calibri Light"/>
          <w:b/>
          <w:bCs/>
          <w:sz w:val="18"/>
          <w:szCs w:val="18"/>
        </w:rPr>
        <w:t>minimálně 2 000 000 Kč bez DPH.</w:t>
      </w:r>
    </w:p>
    <w:p w14:paraId="30D3B86D" w14:textId="77777777" w:rsidR="009A0718" w:rsidRPr="00542873" w:rsidRDefault="009A0718" w:rsidP="00542873">
      <w:pPr>
        <w:widowControl w:val="0"/>
        <w:suppressAutoHyphens/>
        <w:ind w:left="567"/>
        <w:jc w:val="both"/>
        <w:rPr>
          <w:rFonts w:ascii="Calibri Light" w:hAnsi="Calibri Light" w:cs="Calibri Light"/>
          <w:highlight w:val="yellow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D0750D" w:rsidRPr="00CD52C3" w14:paraId="29B219C5" w14:textId="77777777" w:rsidTr="003C7201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178BF" w14:textId="77777777" w:rsidR="00D0750D" w:rsidRPr="00CD52C3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 Light" w:hAnsi="Calibri Light" w:cs="Calibri Light"/>
                <w:b/>
                <w:bCs/>
              </w:rPr>
            </w:pPr>
            <w:r w:rsidRPr="00CD52C3">
              <w:rPr>
                <w:rFonts w:ascii="Calibri Light" w:hAnsi="Calibri Light" w:cs="Calibri Light"/>
                <w:b/>
                <w:bCs/>
              </w:rPr>
              <w:t>REFERENČNÍ ZAKÁZKA č. 1</w:t>
            </w:r>
          </w:p>
        </w:tc>
      </w:tr>
      <w:tr w:rsidR="00D0750D" w:rsidRPr="003B407E" w14:paraId="152D02BE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36113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realizované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CD2" w14:textId="2DF3911B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D0750D" w:rsidRPr="003B407E" w14:paraId="2EFBAB80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EED50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267" w14:textId="74128741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5919DC15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F1E80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 nebo 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589" w14:textId="05DBCFA3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39ECD77B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D0072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080F" w14:textId="5CB95FFA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787740E6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34DB8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2FC" w14:textId="4EA3E9C3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413E5228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1B237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 na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A8CB" w14:textId="014BC5EB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0CD30BE7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29D47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místo realizace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70FB" w14:textId="52F4874F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54D24551" w14:textId="77777777" w:rsidTr="00D74D3D">
        <w:trPr>
          <w:trHeight w:val="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C51AC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lastRenderedPageBreak/>
              <w:t>popis předmětu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22B" w14:textId="09F7D1B9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0750D" w:rsidRPr="003B407E" w14:paraId="7EECFFEA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A0906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doba (termín)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16D" w14:textId="033553FE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D0750D" w:rsidRPr="003B407E" w14:paraId="05CFDC52" w14:textId="77777777" w:rsidTr="00D74D3D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2B4CF" w14:textId="7793424E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cena </w:t>
            </w:r>
            <w:r w:rsidR="00A95AFA">
              <w:rPr>
                <w:rFonts w:ascii="Calibri Light" w:hAnsi="Calibri Light" w:cs="Calibri Light"/>
                <w:sz w:val="18"/>
                <w:szCs w:val="18"/>
              </w:rPr>
              <w:t>zakázky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v 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844" w14:textId="77777777" w:rsidR="00D0750D" w:rsidRPr="003B407E" w:rsidRDefault="00D0750D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</w:tbl>
    <w:p w14:paraId="68ECD814" w14:textId="25758146" w:rsidR="00F8302E" w:rsidRPr="003B407E" w:rsidRDefault="00F8302E" w:rsidP="00465DC4">
      <w:pPr>
        <w:pStyle w:val="Zkladntextodsazen3"/>
        <w:tabs>
          <w:tab w:val="left" w:pos="0"/>
        </w:tabs>
        <w:spacing w:after="0"/>
        <w:ind w:left="0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644FF0" w:rsidRPr="00CD52C3" w14:paraId="60F8DE40" w14:textId="77777777" w:rsidTr="00BC1171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57EA8" w14:textId="77777777" w:rsidR="00644FF0" w:rsidRPr="00CD52C3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D52C3">
              <w:rPr>
                <w:rFonts w:ascii="Calibri Light" w:hAnsi="Calibri Light" w:cs="Calibri Light"/>
                <w:b/>
                <w:bCs/>
              </w:rPr>
              <w:t>REFERENČNÍ ZAKÁZKA č. 2</w:t>
            </w:r>
          </w:p>
        </w:tc>
      </w:tr>
      <w:tr w:rsidR="00644FF0" w:rsidRPr="003B407E" w14:paraId="680D22FF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33AAE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realizované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0199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644FF0" w:rsidRPr="003B407E" w14:paraId="793D5DDB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4775D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05BF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5C4513DB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682DC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 nebo 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5C5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0E7D1061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7A8B9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E30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3E0F47A1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A2404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1EF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0049B69C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BC21A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 na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5EBF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4418DF46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1D78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místo realizace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12C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38714EF0" w14:textId="77777777" w:rsidTr="00BC1171">
        <w:trPr>
          <w:trHeight w:val="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A558D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popis předmětu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2E3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44FF0" w:rsidRPr="003B407E" w14:paraId="5167BBC7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E2A2C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doba (termín)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C3C8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644FF0" w:rsidRPr="003B407E" w14:paraId="3608348E" w14:textId="77777777" w:rsidTr="00BC117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B9F42" w14:textId="6711558A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cena </w:t>
            </w:r>
            <w:r w:rsidR="00A95AFA">
              <w:rPr>
                <w:rFonts w:ascii="Calibri Light" w:hAnsi="Calibri Light" w:cs="Calibri Light"/>
                <w:sz w:val="18"/>
                <w:szCs w:val="18"/>
              </w:rPr>
              <w:t>zakázky</w:t>
            </w:r>
            <w:r w:rsidR="00A95AFA" w:rsidRPr="003B407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>v 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1E9" w14:textId="77777777" w:rsidR="00644FF0" w:rsidRPr="003B407E" w:rsidRDefault="00644FF0" w:rsidP="00BC11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</w:tbl>
    <w:p w14:paraId="582D616F" w14:textId="77777777" w:rsidR="0091412F" w:rsidRDefault="0091412F" w:rsidP="00465DC4">
      <w:pPr>
        <w:pStyle w:val="Zkladntextodsazen3"/>
        <w:tabs>
          <w:tab w:val="left" w:pos="0"/>
        </w:tabs>
        <w:spacing w:after="0"/>
        <w:ind w:left="0"/>
        <w:jc w:val="both"/>
        <w:rPr>
          <w:rFonts w:ascii="Calibri Light" w:hAnsi="Calibri Light" w:cs="Calibri Light"/>
          <w:sz w:val="18"/>
          <w:szCs w:val="18"/>
        </w:rPr>
      </w:pPr>
    </w:p>
    <w:p w14:paraId="6AFBCA4C" w14:textId="307E209D" w:rsidR="00854B7B" w:rsidRPr="00A83651" w:rsidRDefault="00A83651" w:rsidP="00A83651">
      <w:pPr>
        <w:pStyle w:val="Nadpis2"/>
        <w:framePr w:h="748" w:hRule="exact" w:wrap="notBeside" w:hAnchor="page" w:x="1453" w:y="298"/>
        <w:spacing w:before="240" w:after="240"/>
        <w:rPr>
          <w:rFonts w:ascii="Calibri Light" w:hAnsi="Calibri Light" w:cs="Calibri Light"/>
          <w:bCs/>
        </w:rPr>
      </w:pPr>
      <w:r w:rsidRPr="00CD52C3">
        <w:rPr>
          <w:rFonts w:ascii="Calibri Light" w:hAnsi="Calibri Light" w:cs="Calibri Light"/>
          <w:bCs/>
        </w:rPr>
        <w:t>PROKÁZÁNÍ KVALIFIKACE PROSTŘEDNICTVÍM JINÉ OSOBY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3C7201" w:rsidRPr="003B407E" w14:paraId="395F9D3C" w14:textId="77777777" w:rsidTr="004E3A4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81FCE" w14:textId="77777777" w:rsidR="003C7201" w:rsidRPr="003B407E" w:rsidRDefault="003C720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Prokazuje dodavatel část kvalifikace prostřednictvím jiné osoby?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EE1" w14:textId="77777777" w:rsidR="00F245B1" w:rsidRPr="003B407E" w:rsidRDefault="00F245B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7B14019" w14:textId="16981C22" w:rsidR="00F245B1" w:rsidRPr="003B407E" w:rsidRDefault="00F245B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6"/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ANO (pokud je vybrána tato varianta, vyplňte další údaje</w:t>
            </w:r>
            <w:r w:rsidR="000D7A61" w:rsidRPr="003B407E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  <w:p w14:paraId="4353F944" w14:textId="77777777" w:rsidR="00F245B1" w:rsidRPr="003B407E" w:rsidRDefault="00F245B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5C1FA02" w14:textId="65388FA7" w:rsidR="00F245B1" w:rsidRPr="003B407E" w:rsidRDefault="00F245B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7"/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NE (pokud je vybrána tato varianta, již nevyplňujte další údaje)</w:t>
            </w:r>
          </w:p>
          <w:p w14:paraId="631BB79B" w14:textId="7E3247D8" w:rsidR="00F245B1" w:rsidRPr="003B407E" w:rsidRDefault="00F245B1" w:rsidP="00F245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CD52C3" w14:paraId="5F98FC4A" w14:textId="77777777" w:rsidTr="0007721B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E35B" w14:textId="77777777" w:rsidR="00822E39" w:rsidRPr="00CD52C3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 Light" w:hAnsi="Calibri Light" w:cs="Calibri Light"/>
                <w:b/>
                <w:bCs/>
              </w:rPr>
            </w:pPr>
            <w:r w:rsidRPr="00CD52C3">
              <w:rPr>
                <w:rFonts w:ascii="Calibri Light" w:hAnsi="Calibri Light" w:cs="Calibri Light"/>
                <w:b/>
                <w:bCs/>
              </w:rPr>
              <w:t>IDENTIFIKAČNÍ ÚDAJE JINÉ OSOBY:</w:t>
            </w:r>
          </w:p>
        </w:tc>
      </w:tr>
      <w:tr w:rsidR="00822E39" w:rsidRPr="003B407E" w14:paraId="72AAC5CD" w14:textId="77777777" w:rsidTr="0007721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381BF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fyzické nebo právnické osoby: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E38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1F82AAE1" w14:textId="77777777" w:rsidTr="0007721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330CD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EE89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00CA489A" w14:textId="77777777" w:rsidTr="0007721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23A8C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IČO/DIČ: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1A1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49B72FB3" w14:textId="77777777" w:rsidTr="0007721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FD9D7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927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08BB500E" w14:textId="77777777" w:rsidTr="0007721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DBA79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spojení/ e-mailová adresa: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82A3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183ECC44" w14:textId="77777777" w:rsidTr="0007721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DC57" w14:textId="77777777" w:rsidR="00822E39" w:rsidRPr="003B407E" w:rsidRDefault="00822E39" w:rsidP="0007721B">
            <w:pPr>
              <w:pStyle w:val="Odstnesl"/>
              <w:spacing w:before="120"/>
              <w:ind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část kvalifikace prokazovaná prostřednictvím jiné osoby: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B25F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7C7A610" w14:textId="77777777" w:rsidR="005C56D2" w:rsidRPr="00776781" w:rsidRDefault="005C56D2" w:rsidP="005C56D2">
      <w:pPr>
        <w:pStyle w:val="Odstnesl"/>
        <w:spacing w:before="240" w:after="240"/>
        <w:ind w:left="0"/>
        <w:rPr>
          <w:rFonts w:ascii="Calibri Light" w:hAnsi="Calibri Light" w:cs="Calibri Light"/>
          <w:sz w:val="18"/>
          <w:szCs w:val="18"/>
        </w:rPr>
      </w:pPr>
      <w:r w:rsidRPr="00776781">
        <w:rPr>
          <w:rFonts w:ascii="Calibri Light" w:hAnsi="Calibri Light" w:cs="Calibri Light"/>
          <w:sz w:val="18"/>
          <w:szCs w:val="18"/>
        </w:rPr>
        <w:t>Pokud dodavatel prokazuje část kvalifikace prostřednictvím jiné osoby / jiných osob, čestně prohlašuje, že je schopen předložit:</w:t>
      </w:r>
    </w:p>
    <w:p w14:paraId="3684D975" w14:textId="0849C20D" w:rsidR="003C7201" w:rsidRPr="003B407E" w:rsidRDefault="003C7201" w:rsidP="005D2F6D">
      <w:pPr>
        <w:pStyle w:val="Odstavecseseznamem"/>
        <w:numPr>
          <w:ilvl w:val="0"/>
          <w:numId w:val="24"/>
        </w:numPr>
        <w:spacing w:before="120" w:after="120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doklady prokazující splnění profesní způsobilosti </w:t>
      </w:r>
      <w:r w:rsidR="005C56D2">
        <w:rPr>
          <w:rFonts w:ascii="Calibri Light" w:hAnsi="Calibri Light" w:cs="Calibri Light"/>
          <w:sz w:val="18"/>
          <w:szCs w:val="18"/>
        </w:rPr>
        <w:t>v obdobě</w:t>
      </w:r>
      <w:r w:rsidRPr="003B407E">
        <w:rPr>
          <w:rFonts w:ascii="Calibri Light" w:hAnsi="Calibri Light" w:cs="Calibri Light"/>
          <w:sz w:val="18"/>
          <w:szCs w:val="18"/>
        </w:rPr>
        <w:t xml:space="preserve"> § 77 odst. 1 zákona jinou osobou,</w:t>
      </w:r>
    </w:p>
    <w:p w14:paraId="219728F5" w14:textId="77777777" w:rsidR="003C7201" w:rsidRPr="003B407E" w:rsidRDefault="003C7201" w:rsidP="005D2F6D">
      <w:pPr>
        <w:pStyle w:val="Odstavecseseznamem"/>
        <w:numPr>
          <w:ilvl w:val="0"/>
          <w:numId w:val="24"/>
        </w:numPr>
        <w:spacing w:before="120" w:after="120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doklady prokazující splnění chybějící části kvalifikace prostřednictvím jiné osoby,</w:t>
      </w:r>
    </w:p>
    <w:p w14:paraId="3F0B1579" w14:textId="4D33B9A9" w:rsidR="003C7201" w:rsidRPr="003B407E" w:rsidRDefault="003C7201" w:rsidP="005D2F6D">
      <w:pPr>
        <w:pStyle w:val="Odstavecseseznamem"/>
        <w:numPr>
          <w:ilvl w:val="0"/>
          <w:numId w:val="24"/>
        </w:numPr>
        <w:spacing w:before="120" w:after="120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doklady o splnění základní způsobilosti </w:t>
      </w:r>
      <w:r w:rsidR="005C56D2">
        <w:rPr>
          <w:rFonts w:ascii="Calibri Light" w:hAnsi="Calibri Light" w:cs="Calibri Light"/>
          <w:sz w:val="18"/>
          <w:szCs w:val="18"/>
        </w:rPr>
        <w:t>v obdobě</w:t>
      </w:r>
      <w:r w:rsidRPr="003B407E">
        <w:rPr>
          <w:rFonts w:ascii="Calibri Light" w:hAnsi="Calibri Light" w:cs="Calibri Light"/>
          <w:sz w:val="18"/>
          <w:szCs w:val="18"/>
        </w:rPr>
        <w:t xml:space="preserve"> § 74 zákona jinou osobou a</w:t>
      </w:r>
    </w:p>
    <w:p w14:paraId="27438DF6" w14:textId="248204FC" w:rsidR="003C7201" w:rsidRPr="003B407E" w:rsidRDefault="003C7201" w:rsidP="005D2F6D">
      <w:pPr>
        <w:pStyle w:val="Odstavecseseznamem"/>
        <w:numPr>
          <w:ilvl w:val="0"/>
          <w:numId w:val="24"/>
        </w:numPr>
        <w:spacing w:before="120" w:after="120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písemný závazek jiné osoby k poskytnutí plnění určeného k plnění veřejné zakázky nebo k poskytnutí věcí nebo</w:t>
      </w:r>
      <w:r w:rsidR="00AB7B2F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práv,</w:t>
      </w:r>
      <w:r w:rsidR="00AB7B2F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s</w:t>
      </w:r>
      <w:r w:rsidR="00AB7B2F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nimiž bude dodavatel oprávněn disponovat v rámci plnění veřejné zakázky, a to alespoň v</w:t>
      </w:r>
      <w:r w:rsidR="00AB7B2F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rozsahu,</w:t>
      </w:r>
      <w:r w:rsidR="00AB7B2F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v</w:t>
      </w:r>
      <w:r w:rsidR="00AB7B2F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jakém jiná osoba prokázala kvalifikaci za dodavatele.</w:t>
      </w:r>
    </w:p>
    <w:p w14:paraId="7893D54A" w14:textId="77777777" w:rsidR="005C56D2" w:rsidRPr="00776781" w:rsidRDefault="005C56D2" w:rsidP="005C56D2">
      <w:pPr>
        <w:pStyle w:val="Odstnesl"/>
        <w:spacing w:before="240" w:after="240"/>
        <w:ind w:left="0"/>
        <w:rPr>
          <w:rFonts w:ascii="Calibri Light" w:hAnsi="Calibri Light" w:cs="Calibri Light"/>
          <w:sz w:val="18"/>
          <w:szCs w:val="18"/>
        </w:rPr>
      </w:pPr>
      <w:r w:rsidRPr="00776781">
        <w:rPr>
          <w:rFonts w:ascii="Calibri Light" w:hAnsi="Calibri Light" w:cs="Calibri Light"/>
          <w:sz w:val="18"/>
          <w:szCs w:val="18"/>
        </w:rPr>
        <w:lastRenderedPageBreak/>
        <w:t>Má se za to, že požadavek podle písm. d) odstavce předchozího je splněn, pokud obsahem písemného závazku jiné osoby je společná a nerozdílná odpovědnost této osoby za plnění veřejné zakázky společně s dodavatelem. Prokazuje-li však dodavatel prostřednictvím jiné osoby kvalifikaci a předkládá doklady v obdobě § 79 odst. 2 písm. a), b) nebo d) zákona vztahující se k takové osobě, musí dokument podle písm. d) odstavce předchozího obsahovat závazek, že jiná osoba bude vykonávat stavební práce či služby, ke kterým se prokazované kritérium kvalifikace vztahuje.</w:t>
      </w:r>
    </w:p>
    <w:p w14:paraId="61B6D22F" w14:textId="77777777" w:rsidR="003C7201" w:rsidRPr="003B407E" w:rsidRDefault="003C7201" w:rsidP="00AB7B2F">
      <w:pPr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Na základě výzvy zadavatele jsem připraven předmětné doklady předložit ve stanovené lhůtě.</w:t>
      </w:r>
    </w:p>
    <w:p w14:paraId="3DAA2E64" w14:textId="322B0BDA" w:rsidR="003C7201" w:rsidRPr="003B407E" w:rsidRDefault="003C7201" w:rsidP="00AB7B2F">
      <w:pPr>
        <w:pStyle w:val="Odstnesl"/>
        <w:keepNext/>
        <w:spacing w:before="120"/>
        <w:ind w:left="0"/>
        <w:rPr>
          <w:rFonts w:ascii="Calibri Light" w:hAnsi="Calibri Light" w:cs="Calibri Light"/>
          <w:color w:val="333333"/>
          <w:sz w:val="18"/>
          <w:szCs w:val="18"/>
          <w:lang w:eastAsia="cs-CZ"/>
        </w:rPr>
      </w:pPr>
      <w:r w:rsidRPr="003B407E">
        <w:rPr>
          <w:rFonts w:ascii="Calibri Light" w:hAnsi="Calibri Light" w:cs="Calibri Light"/>
          <w:sz w:val="18"/>
          <w:szCs w:val="18"/>
        </w:rPr>
        <w:t>Dodavatel dále čestné prohlašuje, že disponuje prohlášením jiné osoby ve vztahu ke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 střetu zájmů ve smyslu ustanovení § 4b zákona č. 159/2006 sb., o střetu zájmů (viz níže) a ke střetu zájmů vůči zadavateli této veřejné zakázky potažmo vůči konkrétním osobám podílejícím se na řízení </w:t>
      </w:r>
      <w:r w:rsidR="004440FA"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subjektu </w:t>
      </w:r>
      <w:r w:rsidR="00A83651">
        <w:rPr>
          <w:rFonts w:ascii="Calibri Light" w:hAnsi="Calibri Light" w:cs="Calibri Light"/>
          <w:sz w:val="18"/>
          <w:szCs w:val="18"/>
        </w:rPr>
        <w:t>Hotelová škola, Frenštát pod Radhoštěm</w:t>
      </w:r>
      <w:r w:rsidR="00505F2B" w:rsidRPr="00505F2B">
        <w:rPr>
          <w:rFonts w:ascii="Calibri Light" w:hAnsi="Calibri Light" w:cs="Calibri Light"/>
          <w:sz w:val="18"/>
          <w:szCs w:val="18"/>
        </w:rPr>
        <w:t>, příspěvková organizace</w:t>
      </w:r>
      <w:r w:rsidR="00AB7B2F" w:rsidRPr="00505F2B">
        <w:rPr>
          <w:rFonts w:ascii="Calibri Light" w:hAnsi="Calibri Light" w:cs="Calibri Light"/>
          <w:sz w:val="18"/>
          <w:szCs w:val="18"/>
        </w:rPr>
        <w:t>.</w:t>
      </w:r>
    </w:p>
    <w:p w14:paraId="44C27996" w14:textId="2B05FD88" w:rsidR="003C7201" w:rsidRPr="003B407E" w:rsidRDefault="003C7201" w:rsidP="00AB7B2F">
      <w:pPr>
        <w:spacing w:before="120" w:after="120"/>
        <w:jc w:val="both"/>
        <w:rPr>
          <w:rFonts w:ascii="Calibri Light" w:hAnsi="Calibri Light" w:cs="Calibri Light"/>
          <w:color w:val="333333"/>
          <w:sz w:val="18"/>
          <w:szCs w:val="18"/>
          <w:lang w:eastAsia="cs-CZ"/>
        </w:rPr>
      </w:pP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Ustanovení § 4b zákona č. 159/2006 Sb., o střetu zájmů:</w:t>
      </w:r>
    </w:p>
    <w:p w14:paraId="73BF3F5D" w14:textId="69F6F49F" w:rsidR="003C7201" w:rsidRPr="003B407E" w:rsidRDefault="003C7201" w:rsidP="00AB7B2F">
      <w:pPr>
        <w:spacing w:before="120" w:after="120"/>
        <w:jc w:val="both"/>
        <w:rPr>
          <w:rFonts w:ascii="Calibri Light" w:hAnsi="Calibri Light" w:cs="Calibri Light"/>
          <w:color w:val="333333"/>
          <w:sz w:val="18"/>
          <w:szCs w:val="18"/>
          <w:lang w:eastAsia="cs-CZ"/>
        </w:rPr>
      </w:pP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„Obchodní společnost, ve které veřejný funkcionář uvedený v § 2 odst. 1 písm. c) nebo jím ovládaná osoba vlastní podíl</w:t>
      </w:r>
      <w:r w:rsidR="00644FF0"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 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představující alespoň 25 % účasti společníka v obchodní společnosti, se nesmí účastnit </w:t>
      </w:r>
      <w:r w:rsidR="00F80B46">
        <w:rPr>
          <w:rFonts w:ascii="Calibri Light" w:hAnsi="Calibri Light" w:cs="Calibri Light"/>
          <w:color w:val="333333"/>
          <w:sz w:val="18"/>
          <w:szCs w:val="18"/>
          <w:lang w:eastAsia="cs-CZ"/>
        </w:rPr>
        <w:t>výběrových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 řízení podle zákona upravujícího zadávání veřejných zakázek jako účastník nebo poddodavatel, prostřednictvím kterého dodavatel prokazuje kvalifikaci.</w:t>
      </w:r>
    </w:p>
    <w:p w14:paraId="17A43EBF" w14:textId="3BBAD693" w:rsidR="00542873" w:rsidRPr="00AB7B2F" w:rsidRDefault="003C7201" w:rsidP="00AB7B2F">
      <w:pPr>
        <w:spacing w:before="120" w:after="120"/>
        <w:jc w:val="both"/>
        <w:rPr>
          <w:rFonts w:ascii="Calibri Light" w:hAnsi="Calibri Light" w:cs="Calibri Light"/>
          <w:color w:val="333333"/>
          <w:sz w:val="18"/>
          <w:szCs w:val="18"/>
          <w:lang w:eastAsia="cs-CZ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Jiná osoba není ve střetu zájmů ani vůči zadavateli či 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konkrétním osobám podílejícím se </w:t>
      </w:r>
      <w:r w:rsidRPr="00505F2B">
        <w:rPr>
          <w:rFonts w:ascii="Calibri Light" w:hAnsi="Calibri Light" w:cs="Calibri Light"/>
          <w:color w:val="333333"/>
          <w:sz w:val="18"/>
          <w:szCs w:val="18"/>
          <w:lang w:eastAsia="cs-CZ"/>
        </w:rPr>
        <w:t xml:space="preserve">na řízení subjektu </w:t>
      </w:r>
      <w:r w:rsidR="00BC2C38">
        <w:rPr>
          <w:rFonts w:ascii="Calibri Light" w:hAnsi="Calibri Light" w:cs="Calibri Light"/>
          <w:sz w:val="18"/>
          <w:szCs w:val="18"/>
        </w:rPr>
        <w:t>Hotelová škola, Frenštát pod Radhoštěm</w:t>
      </w:r>
      <w:r w:rsidR="00466F64" w:rsidRPr="00505F2B">
        <w:rPr>
          <w:rFonts w:ascii="Calibri Light" w:hAnsi="Calibri Light" w:cs="Calibri Light"/>
          <w:sz w:val="18"/>
          <w:szCs w:val="18"/>
        </w:rPr>
        <w:t>, příspěvková organizace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,</w:t>
      </w:r>
      <w:r w:rsidR="00342A43">
        <w:rPr>
          <w:rFonts w:ascii="Calibri Light" w:hAnsi="Calibri Light" w:cs="Calibri Light"/>
          <w:color w:val="333333"/>
          <w:sz w:val="18"/>
          <w:szCs w:val="18"/>
          <w:lang w:eastAsia="cs-CZ"/>
        </w:rPr>
        <w:t> 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ani</w:t>
      </w:r>
      <w:r w:rsidR="00342A43">
        <w:rPr>
          <w:rFonts w:ascii="Calibri Light" w:hAnsi="Calibri Light" w:cs="Calibri Light"/>
          <w:color w:val="333333"/>
          <w:sz w:val="18"/>
          <w:szCs w:val="18"/>
          <w:lang w:eastAsia="cs-CZ"/>
        </w:rPr>
        <w:t> 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ve</w:t>
      </w:r>
      <w:r w:rsidR="00342A43">
        <w:rPr>
          <w:rFonts w:ascii="Calibri Light" w:hAnsi="Calibri Light" w:cs="Calibri Light"/>
          <w:color w:val="333333"/>
          <w:sz w:val="18"/>
          <w:szCs w:val="18"/>
          <w:lang w:eastAsia="cs-CZ"/>
        </w:rPr>
        <w:t> 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smyslu ustanovení § 4b zákona č.</w:t>
      </w:r>
      <w:r w:rsidR="00AB7B2F">
        <w:rPr>
          <w:rFonts w:ascii="Calibri Light" w:hAnsi="Calibri Light" w:cs="Calibri Light"/>
          <w:color w:val="333333"/>
          <w:sz w:val="18"/>
          <w:szCs w:val="18"/>
          <w:lang w:eastAsia="cs-CZ"/>
        </w:rPr>
        <w:t> </w:t>
      </w:r>
      <w:r w:rsidRPr="003B407E">
        <w:rPr>
          <w:rFonts w:ascii="Calibri Light" w:hAnsi="Calibri Light" w:cs="Calibri Light"/>
          <w:color w:val="333333"/>
          <w:sz w:val="18"/>
          <w:szCs w:val="18"/>
          <w:lang w:eastAsia="cs-CZ"/>
        </w:rPr>
        <w:t>159/2006 sb., o střetu zájmů.</w:t>
      </w:r>
    </w:p>
    <w:p w14:paraId="523ED257" w14:textId="24161BD9" w:rsidR="003C7201" w:rsidRPr="00CD52C3" w:rsidRDefault="003C7201" w:rsidP="00AB7B2F">
      <w:pPr>
        <w:pStyle w:val="Nadpis2"/>
        <w:framePr w:wrap="notBeside"/>
        <w:spacing w:before="240" w:after="240"/>
        <w:rPr>
          <w:rFonts w:ascii="Calibri Light" w:hAnsi="Calibri Light" w:cs="Calibri Light"/>
          <w:bCs/>
        </w:rPr>
      </w:pPr>
      <w:r w:rsidRPr="00CD52C3">
        <w:rPr>
          <w:rFonts w:ascii="Calibri Light" w:hAnsi="Calibri Light" w:cs="Calibri Light"/>
          <w:bCs/>
        </w:rPr>
        <w:t>PODDODAVATELSKÉ SCHÉMA – SEZNAM PODDODAVATELŮ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0D7A61" w:rsidRPr="003B407E" w14:paraId="6297F30E" w14:textId="77777777" w:rsidTr="000D7A6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10DBE" w14:textId="73932675" w:rsidR="000D7A61" w:rsidRPr="003B407E" w:rsidRDefault="000D7A6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Využívá účastník poddodavatele?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FA6" w14:textId="77777777" w:rsidR="000D7A61" w:rsidRPr="003B407E" w:rsidRDefault="000D7A6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04640A" w14:textId="77777777" w:rsidR="000D7A61" w:rsidRPr="003B407E" w:rsidRDefault="000D7A6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ANO (pokud je vybrána tato varianta, vyplňte další údaje)</w:t>
            </w:r>
          </w:p>
          <w:p w14:paraId="587E9A4A" w14:textId="77777777" w:rsidR="000D7A61" w:rsidRPr="003B407E" w:rsidRDefault="000D7A6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BF1EDBD" w14:textId="77777777" w:rsidR="000D7A61" w:rsidRPr="003B407E" w:rsidRDefault="000D7A6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NE (pokud je vybrána tato varianta, již nevyplňujte další údaje)</w:t>
            </w:r>
          </w:p>
          <w:p w14:paraId="5B3A31DE" w14:textId="77777777" w:rsidR="000D7A61" w:rsidRPr="003B407E" w:rsidRDefault="000D7A61" w:rsidP="00155B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97DAAD1" w14:textId="1C91BEC4" w:rsidR="00822E39" w:rsidRPr="003B407E" w:rsidRDefault="00822E39" w:rsidP="00822E39">
      <w:pPr>
        <w:pStyle w:val="Zkladntextodsazen3"/>
        <w:ind w:left="0" w:right="-142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822E39" w:rsidRPr="00CD52C3" w14:paraId="71CB8208" w14:textId="77777777" w:rsidTr="0007721B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3F56" w14:textId="77777777" w:rsidR="00822E39" w:rsidRPr="00CD52C3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D52C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IDENTIFIKACE PODDODAVATELE č. 1</w:t>
            </w:r>
          </w:p>
        </w:tc>
      </w:tr>
      <w:tr w:rsidR="00822E39" w:rsidRPr="003B407E" w14:paraId="67000292" w14:textId="77777777" w:rsidTr="0007721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86B2A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fyzické nebo právnické osoby: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049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5CCF93BA" w14:textId="77777777" w:rsidTr="0007721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F81C5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72A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5149C31A" w14:textId="77777777" w:rsidTr="0007721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32EF3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IČO/DIČ: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4BA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0CCAC611" w14:textId="77777777" w:rsidTr="0007721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EACFE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902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6019DD13" w14:textId="77777777" w:rsidTr="0007721B">
        <w:trPr>
          <w:trHeight w:val="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D2076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popis části plnění předmětu veřejné zakázky, kterou hodlá účastník zadat poddodavateli: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81A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3A1E33E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497742E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150B419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22E39" w:rsidRPr="003B407E" w14:paraId="3CC9338C" w14:textId="77777777" w:rsidTr="0007721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3125E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% podíl na plnění předmětu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2A4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  <w:p w14:paraId="111A6609" w14:textId="77777777" w:rsidR="00822E39" w:rsidRPr="003B407E" w:rsidRDefault="00822E39" w:rsidP="000772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</w:tbl>
    <w:p w14:paraId="1E5021AC" w14:textId="64332B28" w:rsidR="00822E39" w:rsidRDefault="00822E39" w:rsidP="00822E39">
      <w:pPr>
        <w:pStyle w:val="Zkladntextodsazen3"/>
        <w:ind w:left="0" w:right="-142"/>
        <w:jc w:val="both"/>
        <w:rPr>
          <w:rFonts w:ascii="Calibri Light" w:hAnsi="Calibri Light" w:cs="Calibri Light"/>
          <w:sz w:val="18"/>
          <w:szCs w:val="18"/>
        </w:rPr>
      </w:pPr>
    </w:p>
    <w:p w14:paraId="1A0B82C3" w14:textId="3868D48C" w:rsidR="00822E39" w:rsidRPr="003B407E" w:rsidRDefault="0008288C" w:rsidP="0008288C">
      <w:pPr>
        <w:pStyle w:val="Zkladntextodsazen3"/>
        <w:ind w:left="0" w:right="-142"/>
        <w:jc w:val="both"/>
        <w:rPr>
          <w:rFonts w:ascii="Calibri Light" w:hAnsi="Calibri Light" w:cs="Calibri Light"/>
          <w:sz w:val="18"/>
          <w:szCs w:val="18"/>
        </w:rPr>
      </w:pPr>
      <w:r w:rsidRPr="00782259">
        <w:rPr>
          <w:rFonts w:ascii="Calibri Light" w:hAnsi="Calibri Light" w:cs="Calibri Light"/>
          <w:i/>
          <w:iCs/>
          <w:sz w:val="18"/>
          <w:szCs w:val="18"/>
        </w:rPr>
        <w:t>Počet tabulek lze libovolně opakovat</w:t>
      </w:r>
    </w:p>
    <w:p w14:paraId="45C4065F" w14:textId="77777777" w:rsidR="00822E39" w:rsidRPr="003B407E" w:rsidRDefault="00822E39" w:rsidP="00320DCD">
      <w:pPr>
        <w:pStyle w:val="Zkladntextodsazen3"/>
        <w:pBdr>
          <w:bottom w:val="double" w:sz="4" w:space="1" w:color="auto"/>
        </w:pBdr>
        <w:ind w:left="0" w:right="-142"/>
        <w:jc w:val="both"/>
        <w:rPr>
          <w:rFonts w:ascii="Calibri Light" w:hAnsi="Calibri Light" w:cs="Calibri Light"/>
          <w:sz w:val="18"/>
          <w:szCs w:val="18"/>
        </w:rPr>
      </w:pPr>
    </w:p>
    <w:p w14:paraId="2603DF97" w14:textId="77777777" w:rsidR="00320DCD" w:rsidRPr="003B407E" w:rsidRDefault="00320DCD" w:rsidP="00A81409">
      <w:pPr>
        <w:pStyle w:val="Zkladntextodsazen3"/>
        <w:tabs>
          <w:tab w:val="left" w:pos="0"/>
        </w:tabs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6033"/>
      </w:tblGrid>
      <w:tr w:rsidR="00013FF7" w:rsidRPr="003B407E" w14:paraId="5710ED49" w14:textId="77777777" w:rsidTr="000D7A61">
        <w:tc>
          <w:tcPr>
            <w:tcW w:w="2977" w:type="dxa"/>
            <w:shd w:val="clear" w:color="auto" w:fill="F2F2F2" w:themeFill="background1" w:themeFillShade="F2"/>
          </w:tcPr>
          <w:p w14:paraId="2584D19F" w14:textId="4281C69D" w:rsidR="00013FF7" w:rsidRPr="003B407E" w:rsidRDefault="000D7A61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Místo:</w:t>
            </w:r>
          </w:p>
        </w:tc>
        <w:tc>
          <w:tcPr>
            <w:tcW w:w="6203" w:type="dxa"/>
          </w:tcPr>
          <w:p w14:paraId="736A7B81" w14:textId="77777777" w:rsidR="00013FF7" w:rsidRPr="003B407E" w:rsidRDefault="00013FF7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D7A61" w:rsidRPr="003B407E" w14:paraId="70E04843" w14:textId="77777777" w:rsidTr="000D7A61">
        <w:tc>
          <w:tcPr>
            <w:tcW w:w="2977" w:type="dxa"/>
            <w:shd w:val="clear" w:color="auto" w:fill="F2F2F2" w:themeFill="background1" w:themeFillShade="F2"/>
          </w:tcPr>
          <w:p w14:paraId="6FF4EE0D" w14:textId="77777777" w:rsidR="000D7A61" w:rsidRPr="003B407E" w:rsidRDefault="000D7A61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Datum:</w:t>
            </w:r>
          </w:p>
        </w:tc>
        <w:tc>
          <w:tcPr>
            <w:tcW w:w="6203" w:type="dxa"/>
          </w:tcPr>
          <w:p w14:paraId="225D505A" w14:textId="77777777" w:rsidR="000D7A61" w:rsidRPr="003B407E" w:rsidRDefault="000D7A61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13FF7" w:rsidRPr="003B407E" w14:paraId="7E59C42E" w14:textId="77777777" w:rsidTr="000D7A61">
        <w:tc>
          <w:tcPr>
            <w:tcW w:w="2977" w:type="dxa"/>
            <w:shd w:val="clear" w:color="auto" w:fill="F2F2F2" w:themeFill="background1" w:themeFillShade="F2"/>
          </w:tcPr>
          <w:p w14:paraId="3F6BF93D" w14:textId="492BE034" w:rsidR="00013FF7" w:rsidRPr="003B407E" w:rsidRDefault="000D7A61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Jméno a podpis oprávněné osoby:</w:t>
            </w:r>
          </w:p>
        </w:tc>
        <w:tc>
          <w:tcPr>
            <w:tcW w:w="6203" w:type="dxa"/>
          </w:tcPr>
          <w:p w14:paraId="2C456C55" w14:textId="77777777" w:rsidR="00013FF7" w:rsidRPr="003B407E" w:rsidRDefault="00013FF7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11CCD40" w14:textId="77777777" w:rsidR="00013FF7" w:rsidRPr="003B407E" w:rsidRDefault="00013FF7" w:rsidP="00A81409">
      <w:pPr>
        <w:pStyle w:val="Zkladntextodsazen3"/>
        <w:tabs>
          <w:tab w:val="left" w:pos="0"/>
        </w:tabs>
        <w:jc w:val="both"/>
        <w:rPr>
          <w:rFonts w:ascii="Calibri Light" w:hAnsi="Calibri Light" w:cs="Calibri Light"/>
          <w:sz w:val="18"/>
          <w:szCs w:val="18"/>
        </w:rPr>
      </w:pPr>
    </w:p>
    <w:sectPr w:rsidR="00013FF7" w:rsidRPr="003B407E" w:rsidSect="0009026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3EAC" w14:textId="77777777" w:rsidR="00817191" w:rsidRDefault="00817191" w:rsidP="00C726BB">
      <w:r>
        <w:separator/>
      </w:r>
    </w:p>
  </w:endnote>
  <w:endnote w:type="continuationSeparator" w:id="0">
    <w:p w14:paraId="7CF20682" w14:textId="77777777" w:rsidR="00817191" w:rsidRDefault="00817191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583645031"/>
      <w:docPartObj>
        <w:docPartGallery w:val="Page Numbers (Bottom of Page)"/>
        <w:docPartUnique/>
      </w:docPartObj>
    </w:sdtPr>
    <w:sdtContent>
      <w:p w14:paraId="60592EBD" w14:textId="083A6337" w:rsidR="0059716A" w:rsidRDefault="0059716A" w:rsidP="00F07AE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B407E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1142273" w14:textId="77777777" w:rsidR="0059716A" w:rsidRDefault="0059716A" w:rsidP="0059716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401345687"/>
      <w:docPartObj>
        <w:docPartGallery w:val="Page Numbers (Bottom of Page)"/>
        <w:docPartUnique/>
      </w:docPartObj>
    </w:sdtPr>
    <w:sdtEndPr>
      <w:rPr>
        <w:rStyle w:val="slostrnky"/>
        <w:rFonts w:asciiTheme="majorHAnsi" w:hAnsiTheme="majorHAnsi"/>
      </w:rPr>
    </w:sdtEndPr>
    <w:sdtContent>
      <w:p w14:paraId="4FA51BB8" w14:textId="4C11A026" w:rsidR="0059716A" w:rsidRPr="0059716A" w:rsidRDefault="0059716A" w:rsidP="00F07AEA">
        <w:pPr>
          <w:pStyle w:val="Zpat"/>
          <w:framePr w:wrap="none" w:vAnchor="text" w:hAnchor="margin" w:xAlign="right" w:y="1"/>
          <w:rPr>
            <w:rStyle w:val="slostrnky"/>
            <w:rFonts w:asciiTheme="majorHAnsi" w:hAnsiTheme="majorHAnsi"/>
          </w:rPr>
        </w:pPr>
        <w:r w:rsidRPr="005F6A94">
          <w:rPr>
            <w:rStyle w:val="slostrnky"/>
            <w:rFonts w:ascii="Calibri Light" w:hAnsi="Calibri Light" w:cs="Calibri Light"/>
          </w:rPr>
          <w:fldChar w:fldCharType="begin"/>
        </w:r>
        <w:r w:rsidRPr="005F6A94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5F6A94">
          <w:rPr>
            <w:rStyle w:val="slostrnky"/>
            <w:rFonts w:ascii="Calibri Light" w:hAnsi="Calibri Light" w:cs="Calibri Light"/>
          </w:rPr>
          <w:fldChar w:fldCharType="separate"/>
        </w:r>
        <w:r w:rsidRPr="005F6A94">
          <w:rPr>
            <w:rStyle w:val="slostrnky"/>
            <w:rFonts w:ascii="Calibri Light" w:hAnsi="Calibri Light" w:cs="Calibri Light"/>
            <w:noProof/>
          </w:rPr>
          <w:t>1</w:t>
        </w:r>
        <w:r w:rsidRPr="005F6A94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14:paraId="2DEC6BFB" w14:textId="4F89B250" w:rsidR="00A807F9" w:rsidRDefault="00A807F9" w:rsidP="0059716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E1EB" w14:textId="77777777" w:rsidR="00817191" w:rsidRDefault="00817191" w:rsidP="00C726BB">
      <w:r>
        <w:separator/>
      </w:r>
    </w:p>
  </w:footnote>
  <w:footnote w:type="continuationSeparator" w:id="0">
    <w:p w14:paraId="1AE88944" w14:textId="77777777" w:rsidR="00817191" w:rsidRDefault="00817191" w:rsidP="00C726BB">
      <w:r>
        <w:continuationSeparator/>
      </w:r>
    </w:p>
  </w:footnote>
  <w:footnote w:id="1">
    <w:p w14:paraId="0232CE1A" w14:textId="77777777" w:rsidR="00110927" w:rsidRPr="005F6A94" w:rsidRDefault="00110927" w:rsidP="00110927">
      <w:pPr>
        <w:pStyle w:val="Textpoznpodarou"/>
        <w:jc w:val="both"/>
        <w:rPr>
          <w:rFonts w:ascii="Calibri Light" w:hAnsi="Calibri Light" w:cs="Calibri Light"/>
          <w:i/>
          <w:iCs/>
          <w:sz w:val="15"/>
          <w:szCs w:val="15"/>
        </w:rPr>
      </w:pPr>
      <w:r w:rsidRPr="00FF7BAE">
        <w:rPr>
          <w:rStyle w:val="Znakapoznpodarou"/>
          <w:rFonts w:asciiTheme="majorHAnsi" w:hAnsiTheme="majorHAnsi" w:cstheme="minorHAnsi"/>
          <w:i/>
          <w:iCs/>
          <w:sz w:val="16"/>
          <w:szCs w:val="16"/>
        </w:rPr>
        <w:footnoteRef/>
      </w:r>
      <w:r w:rsidRPr="00FF7BAE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r w:rsidRPr="005F6A94">
        <w:rPr>
          <w:rFonts w:ascii="Calibri Light" w:hAnsi="Calibri Light" w:cs="Calibri Light"/>
          <w:i/>
          <w:iCs/>
          <w:sz w:val="15"/>
          <w:szCs w:val="15"/>
        </w:rPr>
        <w:t>dle ustanovení § 187 zákona č. 89/2012 Sb., občanský zákoník, ve znění pozdějších předpisů.</w:t>
      </w:r>
    </w:p>
  </w:footnote>
  <w:footnote w:id="2">
    <w:p w14:paraId="721963E7" w14:textId="77777777" w:rsidR="00110927" w:rsidRPr="005F6A94" w:rsidRDefault="00110927" w:rsidP="00110927">
      <w:pPr>
        <w:pStyle w:val="Textpoznpodarou"/>
        <w:jc w:val="both"/>
        <w:rPr>
          <w:rFonts w:ascii="Calibri Light" w:hAnsi="Calibri Light" w:cs="Calibri Light"/>
          <w:i/>
          <w:iCs/>
          <w:sz w:val="15"/>
          <w:szCs w:val="15"/>
        </w:rPr>
      </w:pPr>
      <w:r w:rsidRPr="005F6A94">
        <w:rPr>
          <w:rStyle w:val="Znakapoznpodarou"/>
          <w:rFonts w:ascii="Calibri Light" w:hAnsi="Calibri Light" w:cs="Calibri Light"/>
          <w:i/>
          <w:iCs/>
          <w:sz w:val="15"/>
          <w:szCs w:val="15"/>
        </w:rPr>
        <w:footnoteRef/>
      </w:r>
      <w:r w:rsidRPr="005F6A94">
        <w:rPr>
          <w:rFonts w:ascii="Calibri Light" w:hAnsi="Calibri Light" w:cs="Calibri Light"/>
          <w:i/>
          <w:iCs/>
          <w:sz w:val="15"/>
          <w:szCs w:val="15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531A986B" w14:textId="77777777" w:rsidR="00110927" w:rsidRPr="00E128B5" w:rsidRDefault="00110927" w:rsidP="00110927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F6A94">
        <w:rPr>
          <w:rStyle w:val="Znakapoznpodarou"/>
          <w:rFonts w:ascii="Calibri Light" w:hAnsi="Calibri Light" w:cs="Calibri Light"/>
          <w:i/>
          <w:iCs/>
          <w:sz w:val="15"/>
          <w:szCs w:val="15"/>
        </w:rPr>
        <w:footnoteRef/>
      </w:r>
      <w:r w:rsidRPr="005F6A94">
        <w:rPr>
          <w:rFonts w:ascii="Calibri Light" w:hAnsi="Calibri Light" w:cs="Calibri Light"/>
          <w:i/>
          <w:iCs/>
          <w:sz w:val="15"/>
          <w:szCs w:val="15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28E"/>
    <w:multiLevelType w:val="hybridMultilevel"/>
    <w:tmpl w:val="B40A8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716"/>
    <w:multiLevelType w:val="multilevel"/>
    <w:tmpl w:val="174AC588"/>
    <w:lvl w:ilvl="0">
      <w:start w:val="1"/>
      <w:numFmt w:val="decimal"/>
      <w:pStyle w:val="Nadpis2"/>
      <w:lvlText w:val="%1)"/>
      <w:lvlJc w:val="left"/>
      <w:pPr>
        <w:ind w:left="360" w:hanging="360"/>
      </w:pPr>
      <w:rPr>
        <w:rFonts w:ascii="Calibri Light" w:hAnsi="Calibri Light" w:cs="Calibri Light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8432C6"/>
    <w:multiLevelType w:val="hybridMultilevel"/>
    <w:tmpl w:val="32D8D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55BF2"/>
    <w:multiLevelType w:val="hybridMultilevel"/>
    <w:tmpl w:val="025E4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07D50"/>
    <w:multiLevelType w:val="hybridMultilevel"/>
    <w:tmpl w:val="736ECE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E478FD"/>
    <w:multiLevelType w:val="hybridMultilevel"/>
    <w:tmpl w:val="28D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1000"/>
    <w:multiLevelType w:val="hybridMultilevel"/>
    <w:tmpl w:val="EAD6B450"/>
    <w:lvl w:ilvl="0" w:tplc="C578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A91361"/>
    <w:multiLevelType w:val="hybridMultilevel"/>
    <w:tmpl w:val="4A54C4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64A87"/>
    <w:multiLevelType w:val="hybridMultilevel"/>
    <w:tmpl w:val="BF94214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DA0EBC"/>
    <w:multiLevelType w:val="hybridMultilevel"/>
    <w:tmpl w:val="133682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79454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A1FAA"/>
    <w:multiLevelType w:val="hybridMultilevel"/>
    <w:tmpl w:val="E3DAB698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F6670C"/>
    <w:multiLevelType w:val="multilevel"/>
    <w:tmpl w:val="B69C1F18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1C4326"/>
    <w:multiLevelType w:val="hybridMultilevel"/>
    <w:tmpl w:val="7BA4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3" w15:restartNumberingAfterBreak="0">
    <w:nsid w:val="77CF10F4"/>
    <w:multiLevelType w:val="hybridMultilevel"/>
    <w:tmpl w:val="3CB4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833028">
    <w:abstractNumId w:val="1"/>
  </w:num>
  <w:num w:numId="2" w16cid:durableId="922832555">
    <w:abstractNumId w:val="1"/>
  </w:num>
  <w:num w:numId="3" w16cid:durableId="412777840">
    <w:abstractNumId w:val="1"/>
  </w:num>
  <w:num w:numId="4" w16cid:durableId="653527686">
    <w:abstractNumId w:val="1"/>
  </w:num>
  <w:num w:numId="5" w16cid:durableId="2141412538">
    <w:abstractNumId w:val="1"/>
  </w:num>
  <w:num w:numId="6" w16cid:durableId="359358711">
    <w:abstractNumId w:val="1"/>
  </w:num>
  <w:num w:numId="7" w16cid:durableId="1692955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571518">
    <w:abstractNumId w:val="12"/>
  </w:num>
  <w:num w:numId="9" w16cid:durableId="539828849">
    <w:abstractNumId w:val="16"/>
  </w:num>
  <w:num w:numId="10" w16cid:durableId="36206610">
    <w:abstractNumId w:val="5"/>
  </w:num>
  <w:num w:numId="11" w16cid:durableId="90778882">
    <w:abstractNumId w:val="18"/>
  </w:num>
  <w:num w:numId="12" w16cid:durableId="1728138764">
    <w:abstractNumId w:val="34"/>
  </w:num>
  <w:num w:numId="13" w16cid:durableId="1034303395">
    <w:abstractNumId w:val="27"/>
  </w:num>
  <w:num w:numId="14" w16cid:durableId="674066773">
    <w:abstractNumId w:val="29"/>
  </w:num>
  <w:num w:numId="15" w16cid:durableId="872116413">
    <w:abstractNumId w:val="9"/>
  </w:num>
  <w:num w:numId="16" w16cid:durableId="959412013">
    <w:abstractNumId w:val="2"/>
  </w:num>
  <w:num w:numId="17" w16cid:durableId="655956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4370284">
    <w:abstractNumId w:val="4"/>
  </w:num>
  <w:num w:numId="19" w16cid:durableId="640968021">
    <w:abstractNumId w:val="24"/>
  </w:num>
  <w:num w:numId="20" w16cid:durableId="1923952787">
    <w:abstractNumId w:val="13"/>
  </w:num>
  <w:num w:numId="21" w16cid:durableId="324405389">
    <w:abstractNumId w:val="8"/>
  </w:num>
  <w:num w:numId="22" w16cid:durableId="432484078">
    <w:abstractNumId w:val="31"/>
  </w:num>
  <w:num w:numId="23" w16cid:durableId="123470825">
    <w:abstractNumId w:val="10"/>
  </w:num>
  <w:num w:numId="24" w16cid:durableId="153036982">
    <w:abstractNumId w:val="30"/>
  </w:num>
  <w:num w:numId="25" w16cid:durableId="468330924">
    <w:abstractNumId w:val="32"/>
  </w:num>
  <w:num w:numId="26" w16cid:durableId="1737821739">
    <w:abstractNumId w:val="26"/>
  </w:num>
  <w:num w:numId="27" w16cid:durableId="1111508180">
    <w:abstractNumId w:val="14"/>
  </w:num>
  <w:num w:numId="28" w16cid:durableId="202720569">
    <w:abstractNumId w:val="0"/>
  </w:num>
  <w:num w:numId="29" w16cid:durableId="91362183">
    <w:abstractNumId w:val="28"/>
  </w:num>
  <w:num w:numId="30" w16cid:durableId="1355496633">
    <w:abstractNumId w:val="19"/>
  </w:num>
  <w:num w:numId="31" w16cid:durableId="1388726033">
    <w:abstractNumId w:val="11"/>
  </w:num>
  <w:num w:numId="32" w16cid:durableId="263734415">
    <w:abstractNumId w:val="3"/>
  </w:num>
  <w:num w:numId="33" w16cid:durableId="1543715319">
    <w:abstractNumId w:val="22"/>
  </w:num>
  <w:num w:numId="34" w16cid:durableId="1155487646">
    <w:abstractNumId w:val="7"/>
  </w:num>
  <w:num w:numId="35" w16cid:durableId="1789082121">
    <w:abstractNumId w:val="15"/>
  </w:num>
  <w:num w:numId="36" w16cid:durableId="327293762">
    <w:abstractNumId w:val="25"/>
  </w:num>
  <w:num w:numId="37" w16cid:durableId="35131007">
    <w:abstractNumId w:val="21"/>
  </w:num>
  <w:num w:numId="38" w16cid:durableId="881988645">
    <w:abstractNumId w:val="33"/>
  </w:num>
  <w:num w:numId="39" w16cid:durableId="188835891">
    <w:abstractNumId w:val="23"/>
  </w:num>
  <w:num w:numId="40" w16cid:durableId="644747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018E4"/>
    <w:rsid w:val="00012E18"/>
    <w:rsid w:val="00013EC6"/>
    <w:rsid w:val="00013FF7"/>
    <w:rsid w:val="000326EF"/>
    <w:rsid w:val="00033007"/>
    <w:rsid w:val="00056E83"/>
    <w:rsid w:val="000671D1"/>
    <w:rsid w:val="0007283D"/>
    <w:rsid w:val="00075E08"/>
    <w:rsid w:val="00076D7D"/>
    <w:rsid w:val="00081B00"/>
    <w:rsid w:val="0008288C"/>
    <w:rsid w:val="00086328"/>
    <w:rsid w:val="000863F4"/>
    <w:rsid w:val="00090267"/>
    <w:rsid w:val="00093937"/>
    <w:rsid w:val="0009575B"/>
    <w:rsid w:val="000A3A1F"/>
    <w:rsid w:val="000B1472"/>
    <w:rsid w:val="000B5011"/>
    <w:rsid w:val="000D15A5"/>
    <w:rsid w:val="000D7A61"/>
    <w:rsid w:val="000F67E4"/>
    <w:rsid w:val="0010240C"/>
    <w:rsid w:val="0011003C"/>
    <w:rsid w:val="00110927"/>
    <w:rsid w:val="001119A5"/>
    <w:rsid w:val="00112951"/>
    <w:rsid w:val="00114256"/>
    <w:rsid w:val="001146F8"/>
    <w:rsid w:val="001172F8"/>
    <w:rsid w:val="001206C8"/>
    <w:rsid w:val="00126021"/>
    <w:rsid w:val="00134FD2"/>
    <w:rsid w:val="00135B39"/>
    <w:rsid w:val="001539CD"/>
    <w:rsid w:val="001576F8"/>
    <w:rsid w:val="00157A61"/>
    <w:rsid w:val="0018090F"/>
    <w:rsid w:val="00200286"/>
    <w:rsid w:val="00206220"/>
    <w:rsid w:val="0021037E"/>
    <w:rsid w:val="00231D0E"/>
    <w:rsid w:val="002379EA"/>
    <w:rsid w:val="00251D18"/>
    <w:rsid w:val="00264ED7"/>
    <w:rsid w:val="0026517B"/>
    <w:rsid w:val="00277ABA"/>
    <w:rsid w:val="002A1258"/>
    <w:rsid w:val="002A2CAD"/>
    <w:rsid w:val="002A374A"/>
    <w:rsid w:val="002B485B"/>
    <w:rsid w:val="002C08B5"/>
    <w:rsid w:val="002C19B4"/>
    <w:rsid w:val="002D03DB"/>
    <w:rsid w:val="002D6308"/>
    <w:rsid w:val="00320DCD"/>
    <w:rsid w:val="00341E53"/>
    <w:rsid w:val="00342A43"/>
    <w:rsid w:val="00344026"/>
    <w:rsid w:val="00346ADE"/>
    <w:rsid w:val="00352854"/>
    <w:rsid w:val="00380C01"/>
    <w:rsid w:val="00383BE9"/>
    <w:rsid w:val="003852F8"/>
    <w:rsid w:val="00387E5E"/>
    <w:rsid w:val="00390939"/>
    <w:rsid w:val="00392A79"/>
    <w:rsid w:val="003A15C2"/>
    <w:rsid w:val="003A3F48"/>
    <w:rsid w:val="003B387C"/>
    <w:rsid w:val="003B407E"/>
    <w:rsid w:val="003C7201"/>
    <w:rsid w:val="003E0D77"/>
    <w:rsid w:val="004268E6"/>
    <w:rsid w:val="00430117"/>
    <w:rsid w:val="004323B8"/>
    <w:rsid w:val="00442C32"/>
    <w:rsid w:val="004440FA"/>
    <w:rsid w:val="00454188"/>
    <w:rsid w:val="004562B2"/>
    <w:rsid w:val="00461478"/>
    <w:rsid w:val="00464C99"/>
    <w:rsid w:val="00465DC4"/>
    <w:rsid w:val="00466EFF"/>
    <w:rsid w:val="00466F64"/>
    <w:rsid w:val="004718D6"/>
    <w:rsid w:val="00486FBB"/>
    <w:rsid w:val="004872B7"/>
    <w:rsid w:val="004B557B"/>
    <w:rsid w:val="004B56A6"/>
    <w:rsid w:val="004C2220"/>
    <w:rsid w:val="004E183B"/>
    <w:rsid w:val="004E3A47"/>
    <w:rsid w:val="004F4A56"/>
    <w:rsid w:val="00505F2B"/>
    <w:rsid w:val="0053414C"/>
    <w:rsid w:val="00542873"/>
    <w:rsid w:val="005464B7"/>
    <w:rsid w:val="0059716A"/>
    <w:rsid w:val="005A4BC6"/>
    <w:rsid w:val="005A7870"/>
    <w:rsid w:val="005C56D2"/>
    <w:rsid w:val="005C746B"/>
    <w:rsid w:val="005D2F6D"/>
    <w:rsid w:val="005E6E15"/>
    <w:rsid w:val="005F6A94"/>
    <w:rsid w:val="00607682"/>
    <w:rsid w:val="00614901"/>
    <w:rsid w:val="006222B5"/>
    <w:rsid w:val="006273FC"/>
    <w:rsid w:val="00632EAF"/>
    <w:rsid w:val="00635287"/>
    <w:rsid w:val="00642E81"/>
    <w:rsid w:val="00642E93"/>
    <w:rsid w:val="00644FF0"/>
    <w:rsid w:val="00655AAB"/>
    <w:rsid w:val="006763F6"/>
    <w:rsid w:val="006A6B0C"/>
    <w:rsid w:val="006B75B7"/>
    <w:rsid w:val="006C5CC2"/>
    <w:rsid w:val="006D2C59"/>
    <w:rsid w:val="006E524F"/>
    <w:rsid w:val="00717BED"/>
    <w:rsid w:val="0073780C"/>
    <w:rsid w:val="00774E4C"/>
    <w:rsid w:val="00785AB4"/>
    <w:rsid w:val="007904C2"/>
    <w:rsid w:val="007A5B1C"/>
    <w:rsid w:val="007A6231"/>
    <w:rsid w:val="007B7BD7"/>
    <w:rsid w:val="007C2C8A"/>
    <w:rsid w:val="007D207A"/>
    <w:rsid w:val="007D69A9"/>
    <w:rsid w:val="007F2F79"/>
    <w:rsid w:val="0080524B"/>
    <w:rsid w:val="00817191"/>
    <w:rsid w:val="00820FBC"/>
    <w:rsid w:val="00822E39"/>
    <w:rsid w:val="00826E17"/>
    <w:rsid w:val="00827BE4"/>
    <w:rsid w:val="00827FF4"/>
    <w:rsid w:val="00854B7B"/>
    <w:rsid w:val="008651ED"/>
    <w:rsid w:val="00865364"/>
    <w:rsid w:val="0086597F"/>
    <w:rsid w:val="00883143"/>
    <w:rsid w:val="00884293"/>
    <w:rsid w:val="00887484"/>
    <w:rsid w:val="008B574F"/>
    <w:rsid w:val="008C083E"/>
    <w:rsid w:val="008E6487"/>
    <w:rsid w:val="0091412F"/>
    <w:rsid w:val="00933C4E"/>
    <w:rsid w:val="009405E2"/>
    <w:rsid w:val="00956B94"/>
    <w:rsid w:val="009617A7"/>
    <w:rsid w:val="00967C6F"/>
    <w:rsid w:val="00976B72"/>
    <w:rsid w:val="00976D53"/>
    <w:rsid w:val="00984DA4"/>
    <w:rsid w:val="00993B53"/>
    <w:rsid w:val="009A0718"/>
    <w:rsid w:val="009A619A"/>
    <w:rsid w:val="009B633E"/>
    <w:rsid w:val="009C3770"/>
    <w:rsid w:val="009E1546"/>
    <w:rsid w:val="00A02C2C"/>
    <w:rsid w:val="00A2185C"/>
    <w:rsid w:val="00A2287E"/>
    <w:rsid w:val="00A306CE"/>
    <w:rsid w:val="00A35842"/>
    <w:rsid w:val="00A372EE"/>
    <w:rsid w:val="00A64F93"/>
    <w:rsid w:val="00A807F9"/>
    <w:rsid w:val="00A80DA0"/>
    <w:rsid w:val="00A81409"/>
    <w:rsid w:val="00A83651"/>
    <w:rsid w:val="00A87DDF"/>
    <w:rsid w:val="00A908F4"/>
    <w:rsid w:val="00A95AFA"/>
    <w:rsid w:val="00AA0E6E"/>
    <w:rsid w:val="00AA3C6B"/>
    <w:rsid w:val="00AA479E"/>
    <w:rsid w:val="00AB220C"/>
    <w:rsid w:val="00AB7B2F"/>
    <w:rsid w:val="00AC1D76"/>
    <w:rsid w:val="00AC7E41"/>
    <w:rsid w:val="00B06D7F"/>
    <w:rsid w:val="00B100C1"/>
    <w:rsid w:val="00B5190E"/>
    <w:rsid w:val="00B532D2"/>
    <w:rsid w:val="00B727A6"/>
    <w:rsid w:val="00B817B9"/>
    <w:rsid w:val="00B93E63"/>
    <w:rsid w:val="00BA0A39"/>
    <w:rsid w:val="00BA1565"/>
    <w:rsid w:val="00BB04B8"/>
    <w:rsid w:val="00BB60D1"/>
    <w:rsid w:val="00BB7999"/>
    <w:rsid w:val="00BC2C38"/>
    <w:rsid w:val="00BC32F3"/>
    <w:rsid w:val="00BD4C4E"/>
    <w:rsid w:val="00BF57F2"/>
    <w:rsid w:val="00C0245B"/>
    <w:rsid w:val="00C2269C"/>
    <w:rsid w:val="00C47DB4"/>
    <w:rsid w:val="00C526E8"/>
    <w:rsid w:val="00C726BB"/>
    <w:rsid w:val="00C75614"/>
    <w:rsid w:val="00C75DB3"/>
    <w:rsid w:val="00C762D3"/>
    <w:rsid w:val="00C93402"/>
    <w:rsid w:val="00C93A9E"/>
    <w:rsid w:val="00C97B60"/>
    <w:rsid w:val="00CA2A70"/>
    <w:rsid w:val="00CC679F"/>
    <w:rsid w:val="00CD52C3"/>
    <w:rsid w:val="00CE1515"/>
    <w:rsid w:val="00CE6B01"/>
    <w:rsid w:val="00CE7219"/>
    <w:rsid w:val="00CF59FF"/>
    <w:rsid w:val="00D04CFA"/>
    <w:rsid w:val="00D07071"/>
    <w:rsid w:val="00D0750D"/>
    <w:rsid w:val="00D22CE3"/>
    <w:rsid w:val="00D374F9"/>
    <w:rsid w:val="00D704C4"/>
    <w:rsid w:val="00D71593"/>
    <w:rsid w:val="00D74D3D"/>
    <w:rsid w:val="00D955D1"/>
    <w:rsid w:val="00DA1765"/>
    <w:rsid w:val="00DB0E86"/>
    <w:rsid w:val="00DB1627"/>
    <w:rsid w:val="00DB33C4"/>
    <w:rsid w:val="00DB7D22"/>
    <w:rsid w:val="00DD5F8C"/>
    <w:rsid w:val="00DD6444"/>
    <w:rsid w:val="00DE56A2"/>
    <w:rsid w:val="00DE68C8"/>
    <w:rsid w:val="00DF0884"/>
    <w:rsid w:val="00DF4E1E"/>
    <w:rsid w:val="00DF70B8"/>
    <w:rsid w:val="00E03DBD"/>
    <w:rsid w:val="00E128B5"/>
    <w:rsid w:val="00E16721"/>
    <w:rsid w:val="00E35A03"/>
    <w:rsid w:val="00E36F27"/>
    <w:rsid w:val="00E6525B"/>
    <w:rsid w:val="00E6756C"/>
    <w:rsid w:val="00E76E33"/>
    <w:rsid w:val="00E85A59"/>
    <w:rsid w:val="00EB1BF9"/>
    <w:rsid w:val="00EC1B0E"/>
    <w:rsid w:val="00ED784D"/>
    <w:rsid w:val="00EE4913"/>
    <w:rsid w:val="00F11303"/>
    <w:rsid w:val="00F179DA"/>
    <w:rsid w:val="00F20AFA"/>
    <w:rsid w:val="00F245B1"/>
    <w:rsid w:val="00F24715"/>
    <w:rsid w:val="00F412FB"/>
    <w:rsid w:val="00F4593D"/>
    <w:rsid w:val="00F46B91"/>
    <w:rsid w:val="00F600BA"/>
    <w:rsid w:val="00F7179D"/>
    <w:rsid w:val="00F7370E"/>
    <w:rsid w:val="00F80B46"/>
    <w:rsid w:val="00F8302E"/>
    <w:rsid w:val="00F868E2"/>
    <w:rsid w:val="00F9256D"/>
    <w:rsid w:val="00FB380A"/>
    <w:rsid w:val="00FC0288"/>
    <w:rsid w:val="00FC1CBA"/>
    <w:rsid w:val="00FD03B5"/>
    <w:rsid w:val="00FE2FCB"/>
    <w:rsid w:val="00FE4FE4"/>
    <w:rsid w:val="00FF318B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A64F93"/>
    <w:pPr>
      <w:keepNext/>
      <w:framePr w:wrap="notBeside" w:vAnchor="text" w:hAnchor="text" w:y="1"/>
      <w:numPr>
        <w:numId w:val="6"/>
      </w:numPr>
      <w:outlineLvl w:val="1"/>
    </w:pPr>
    <w:rPr>
      <w:rFonts w:asciiTheme="majorHAnsi" w:hAnsiTheme="majorHAnsi"/>
      <w:b/>
      <w:caps/>
      <w:color w:val="000000"/>
      <w:sz w:val="24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uiPriority w:val="2"/>
    <w:rsid w:val="00A64F93"/>
    <w:rPr>
      <w:rFonts w:asciiTheme="majorHAnsi" w:hAnsiTheme="majorHAnsi"/>
      <w:b/>
      <w:caps/>
      <w:color w:val="000000"/>
      <w:sz w:val="24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table" w:styleId="Mkatabulky">
    <w:name w:val="Table Grid"/>
    <w:basedOn w:val="Normlntabulka"/>
    <w:uiPriority w:val="59"/>
    <w:rsid w:val="00D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9716A"/>
  </w:style>
  <w:style w:type="character" w:styleId="Nevyeenzmnka">
    <w:name w:val="Unresolved Mention"/>
    <w:basedOn w:val="Standardnpsmoodstavce"/>
    <w:uiPriority w:val="99"/>
    <w:semiHidden/>
    <w:unhideWhenUsed/>
    <w:rsid w:val="00CE7219"/>
    <w:rPr>
      <w:color w:val="605E5C"/>
      <w:shd w:val="clear" w:color="auto" w:fill="E1DFDD"/>
    </w:rPr>
  </w:style>
  <w:style w:type="paragraph" w:customStyle="1" w:styleId="l4">
    <w:name w:val="l4"/>
    <w:basedOn w:val="Normln"/>
    <w:rsid w:val="005F6A9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F6A94"/>
    <w:rPr>
      <w:i/>
      <w:iCs/>
    </w:rPr>
  </w:style>
  <w:style w:type="paragraph" w:customStyle="1" w:styleId="l3">
    <w:name w:val="l3"/>
    <w:basedOn w:val="Normln"/>
    <w:rsid w:val="005F6A94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po.cz/assets/cz/stavebnictvi-a-suroviny/strategicke-dokumenty-pro-udrzitelne-stavebnictvi/2018/11/Protocol-Ares_2016_5840668-101016_C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2204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Microsoft Office User</cp:lastModifiedBy>
  <cp:revision>65</cp:revision>
  <cp:lastPrinted>2021-03-16T08:15:00Z</cp:lastPrinted>
  <dcterms:created xsi:type="dcterms:W3CDTF">2023-12-06T19:10:00Z</dcterms:created>
  <dcterms:modified xsi:type="dcterms:W3CDTF">2025-06-10T05:21:00Z</dcterms:modified>
</cp:coreProperties>
</file>